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黑体" w:eastAsia="方正小标宋简体"/>
          <w:bCs/>
          <w:sz w:val="36"/>
          <w:szCs w:val="36"/>
        </w:rPr>
      </w:pPr>
      <w:bookmarkStart w:id="0" w:name="_GoBack"/>
      <w:bookmarkEnd w:id="0"/>
      <w:r>
        <w:rPr>
          <w:rFonts w:hint="eastAsia" w:ascii="方正小标宋简体" w:hAnsi="黑体" w:eastAsia="方正小标宋简体"/>
          <w:bCs/>
          <w:sz w:val="36"/>
          <w:szCs w:val="36"/>
        </w:rPr>
        <w:t>湖北省临时储备粮交易细则</w:t>
      </w:r>
    </w:p>
    <w:p>
      <w:pPr>
        <w:snapToGrid w:val="0"/>
        <w:spacing w:line="360" w:lineRule="auto"/>
        <w:jc w:val="center"/>
        <w:rPr>
          <w:rFonts w:ascii="方正小标宋简体" w:hAnsi="黑体" w:eastAsia="方正小标宋简体"/>
          <w:bCs/>
          <w:sz w:val="36"/>
          <w:szCs w:val="36"/>
        </w:rPr>
      </w:pPr>
      <w:r>
        <w:rPr>
          <w:rFonts w:hint="eastAsia" w:ascii="方正小标宋简体" w:hAnsi="黑体" w:eastAsia="方正小标宋简体"/>
          <w:bCs/>
          <w:sz w:val="36"/>
          <w:szCs w:val="36"/>
        </w:rPr>
        <w:t>（</w:t>
      </w:r>
      <w:r>
        <w:rPr>
          <w:rFonts w:ascii="方正小标宋简体" w:hAnsi="黑体" w:eastAsia="方正小标宋简体"/>
          <w:bCs/>
          <w:sz w:val="36"/>
          <w:szCs w:val="36"/>
        </w:rPr>
        <w:t>20</w:t>
      </w:r>
      <w:r>
        <w:rPr>
          <w:rFonts w:hint="eastAsia" w:ascii="方正小标宋简体" w:hAnsi="黑体" w:eastAsia="方正小标宋简体"/>
          <w:bCs/>
          <w:sz w:val="36"/>
          <w:szCs w:val="36"/>
          <w:lang w:val="en-US" w:eastAsia="zh-CN"/>
        </w:rPr>
        <w:t>20</w:t>
      </w:r>
      <w:r>
        <w:rPr>
          <w:rFonts w:hint="eastAsia" w:ascii="方正小标宋简体" w:hAnsi="黑体" w:eastAsia="方正小标宋简体"/>
          <w:bCs/>
          <w:sz w:val="36"/>
          <w:szCs w:val="36"/>
        </w:rPr>
        <w:t>年</w:t>
      </w:r>
      <w:r>
        <w:rPr>
          <w:rFonts w:hint="eastAsia" w:ascii="方正小标宋简体" w:hAnsi="黑体" w:eastAsia="方正小标宋简体"/>
          <w:bCs/>
          <w:sz w:val="36"/>
          <w:szCs w:val="36"/>
          <w:lang w:val="en-US" w:eastAsia="zh-CN"/>
        </w:rPr>
        <w:t>4</w:t>
      </w:r>
      <w:r>
        <w:rPr>
          <w:rFonts w:hint="eastAsia" w:ascii="方正小标宋简体" w:hAnsi="黑体" w:eastAsia="方正小标宋简体"/>
          <w:bCs/>
          <w:sz w:val="36"/>
          <w:szCs w:val="36"/>
        </w:rPr>
        <w:t>月</w:t>
      </w:r>
      <w:r>
        <w:rPr>
          <w:rFonts w:hint="eastAsia" w:ascii="方正小标宋简体" w:hAnsi="黑体" w:eastAsia="方正小标宋简体"/>
          <w:bCs/>
          <w:sz w:val="36"/>
          <w:szCs w:val="36"/>
          <w:lang w:val="en-US" w:eastAsia="zh-CN"/>
        </w:rPr>
        <w:t>1</w:t>
      </w:r>
      <w:r>
        <w:rPr>
          <w:rFonts w:hint="eastAsia" w:ascii="方正小标宋简体" w:hAnsi="黑体" w:eastAsia="方正小标宋简体"/>
          <w:bCs/>
          <w:sz w:val="36"/>
          <w:szCs w:val="36"/>
        </w:rPr>
        <w:t>6日起执行）</w:t>
      </w:r>
    </w:p>
    <w:p>
      <w:pPr>
        <w:snapToGrid w:val="0"/>
        <w:spacing w:line="360" w:lineRule="auto"/>
        <w:jc w:val="center"/>
        <w:rPr>
          <w:rFonts w:ascii="仿宋" w:hAnsi="仿宋" w:eastAsia="仿宋"/>
          <w:sz w:val="30"/>
          <w:szCs w:val="30"/>
        </w:rPr>
      </w:pP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第一章</w:t>
      </w:r>
      <w:r>
        <w:rPr>
          <w:rFonts w:ascii="黑体" w:hAnsi="黑体" w:eastAsia="黑体"/>
          <w:bCs/>
          <w:sz w:val="32"/>
          <w:szCs w:val="32"/>
        </w:rPr>
        <w:t xml:space="preserve">  </w:t>
      </w:r>
      <w:r>
        <w:rPr>
          <w:rFonts w:hint="eastAsia" w:ascii="黑体" w:hAnsi="黑体" w:eastAsia="黑体"/>
          <w:bCs/>
          <w:sz w:val="32"/>
          <w:szCs w:val="32"/>
        </w:rPr>
        <w:t>总</w:t>
      </w:r>
      <w:r>
        <w:rPr>
          <w:rFonts w:ascii="黑体" w:hAnsi="黑体" w:eastAsia="黑体"/>
          <w:bCs/>
          <w:sz w:val="32"/>
          <w:szCs w:val="32"/>
        </w:rPr>
        <w:t xml:space="preserve">  </w:t>
      </w:r>
      <w:r>
        <w:rPr>
          <w:rFonts w:hint="eastAsia" w:ascii="黑体" w:hAnsi="黑体" w:eastAsia="黑体"/>
          <w:bCs/>
          <w:sz w:val="32"/>
          <w:szCs w:val="32"/>
        </w:rPr>
        <w:t>则</w:t>
      </w:r>
    </w:p>
    <w:p>
      <w:pPr>
        <w:snapToGrid w:val="0"/>
        <w:spacing w:line="360" w:lineRule="auto"/>
        <w:ind w:firstLine="643" w:firstLineChars="200"/>
        <w:rPr>
          <w:rFonts w:ascii="仿宋" w:hAnsi="仿宋" w:eastAsia="仿宋"/>
          <w:spacing w:val="6"/>
          <w:sz w:val="32"/>
          <w:szCs w:val="32"/>
          <w:lang w:val="zh-CN"/>
        </w:rPr>
      </w:pPr>
      <w:r>
        <w:rPr>
          <w:rFonts w:hint="eastAsia" w:ascii="仿宋" w:hAnsi="仿宋" w:eastAsia="仿宋"/>
          <w:b/>
          <w:sz w:val="32"/>
          <w:szCs w:val="32"/>
        </w:rPr>
        <w:t>第一条</w:t>
      </w:r>
      <w:r>
        <w:rPr>
          <w:rFonts w:ascii="仿宋" w:hAnsi="仿宋" w:eastAsia="仿宋"/>
          <w:sz w:val="32"/>
          <w:szCs w:val="32"/>
        </w:rPr>
        <w:t xml:space="preserve">  </w:t>
      </w:r>
      <w:r>
        <w:rPr>
          <w:rFonts w:hint="eastAsia" w:ascii="仿宋" w:hAnsi="仿宋" w:eastAsia="仿宋"/>
          <w:sz w:val="32"/>
          <w:szCs w:val="32"/>
        </w:rPr>
        <w:t>按照</w:t>
      </w:r>
      <w:r>
        <w:rPr>
          <w:rFonts w:hint="eastAsia" w:ascii="仿宋" w:hAnsi="仿宋" w:eastAsia="仿宋"/>
          <w:sz w:val="32"/>
          <w:szCs w:val="32"/>
          <w:lang w:eastAsia="zh-CN"/>
        </w:rPr>
        <w:t>《</w:t>
      </w:r>
      <w:r>
        <w:rPr>
          <w:rFonts w:hint="eastAsia" w:ascii="仿宋" w:hAnsi="仿宋" w:eastAsia="仿宋"/>
          <w:sz w:val="32"/>
          <w:szCs w:val="32"/>
        </w:rPr>
        <w:t>省人民政府办公厅关于印发湖北省超标粮食收购处置办法的通知》（鄂政办函</w:t>
      </w:r>
      <w:r>
        <w:rPr>
          <w:rFonts w:hint="eastAsia" w:ascii="仿宋" w:hAnsi="仿宋" w:eastAsia="仿宋"/>
          <w:sz w:val="32"/>
          <w:szCs w:val="32"/>
          <w:lang w:eastAsia="zh-CN"/>
        </w:rPr>
        <w:t>〔</w:t>
      </w:r>
      <w:r>
        <w:rPr>
          <w:rFonts w:hint="eastAsia" w:ascii="仿宋" w:hAnsi="仿宋" w:eastAsia="仿宋"/>
          <w:sz w:val="32"/>
          <w:szCs w:val="32"/>
        </w:rPr>
        <w:t>2019</w:t>
      </w:r>
      <w:r>
        <w:rPr>
          <w:rFonts w:hint="eastAsia" w:ascii="仿宋" w:hAnsi="仿宋" w:eastAsia="仿宋"/>
          <w:sz w:val="32"/>
          <w:szCs w:val="32"/>
          <w:lang w:eastAsia="zh-CN"/>
        </w:rPr>
        <w:t>〕</w:t>
      </w:r>
      <w:r>
        <w:rPr>
          <w:rFonts w:hint="eastAsia" w:ascii="仿宋" w:hAnsi="仿宋" w:eastAsia="仿宋"/>
          <w:sz w:val="32"/>
          <w:szCs w:val="32"/>
        </w:rPr>
        <w:t>50号）</w:t>
      </w:r>
      <w:r>
        <w:rPr>
          <w:rFonts w:hint="eastAsia" w:ascii="仿宋" w:hAnsi="仿宋" w:eastAsia="仿宋"/>
          <w:spacing w:val="6"/>
          <w:sz w:val="32"/>
          <w:szCs w:val="32"/>
          <w:lang w:val="en-US" w:eastAsia="zh-CN"/>
        </w:rPr>
        <w:t>及湖北</w:t>
      </w:r>
      <w:r>
        <w:rPr>
          <w:rFonts w:hint="eastAsia" w:ascii="仿宋" w:hAnsi="仿宋" w:eastAsia="仿宋"/>
          <w:sz w:val="32"/>
          <w:szCs w:val="32"/>
        </w:rPr>
        <w:t>省政府</w:t>
      </w:r>
      <w:r>
        <w:rPr>
          <w:rFonts w:hint="eastAsia" w:ascii="仿宋" w:hAnsi="仿宋" w:eastAsia="仿宋"/>
          <w:sz w:val="32"/>
          <w:szCs w:val="32"/>
          <w:lang w:eastAsia="zh-CN"/>
        </w:rPr>
        <w:t>和</w:t>
      </w:r>
      <w:r>
        <w:rPr>
          <w:rFonts w:hint="eastAsia" w:ascii="仿宋" w:hAnsi="仿宋" w:eastAsia="仿宋"/>
          <w:sz w:val="32"/>
          <w:szCs w:val="32"/>
        </w:rPr>
        <w:t>有关部门的要求，</w:t>
      </w:r>
      <w:r>
        <w:rPr>
          <w:rFonts w:hint="eastAsia" w:ascii="仿宋" w:hAnsi="仿宋" w:eastAsia="仿宋"/>
          <w:spacing w:val="6"/>
          <w:sz w:val="32"/>
          <w:szCs w:val="32"/>
          <w:lang w:val="zh-CN"/>
        </w:rPr>
        <w:t>为保证</w:t>
      </w:r>
      <w:r>
        <w:rPr>
          <w:rFonts w:hint="eastAsia" w:ascii="仿宋" w:hAnsi="仿宋" w:eastAsia="仿宋"/>
          <w:sz w:val="32"/>
          <w:szCs w:val="32"/>
        </w:rPr>
        <w:t>湖北省临时储备粮</w:t>
      </w:r>
      <w:r>
        <w:rPr>
          <w:rFonts w:hint="eastAsia" w:ascii="仿宋" w:hAnsi="仿宋" w:eastAsia="仿宋"/>
          <w:spacing w:val="6"/>
          <w:sz w:val="32"/>
          <w:szCs w:val="32"/>
          <w:lang w:val="zh-CN"/>
        </w:rPr>
        <w:t>交易活动顺利进行，特制定本交易细则。</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第二条</w:t>
      </w:r>
      <w:r>
        <w:rPr>
          <w:rFonts w:ascii="仿宋" w:hAnsi="仿宋" w:eastAsia="仿宋"/>
          <w:sz w:val="32"/>
          <w:szCs w:val="32"/>
        </w:rPr>
        <w:t xml:space="preserve">  </w:t>
      </w:r>
      <w:r>
        <w:rPr>
          <w:rFonts w:hint="eastAsia" w:ascii="仿宋" w:hAnsi="仿宋" w:eastAsia="仿宋"/>
          <w:sz w:val="32"/>
          <w:szCs w:val="32"/>
        </w:rPr>
        <w:t>受湖北省</w:t>
      </w:r>
      <w:r>
        <w:rPr>
          <w:rFonts w:hint="eastAsia" w:ascii="仿宋" w:hAnsi="仿宋" w:eastAsia="仿宋"/>
          <w:sz w:val="32"/>
          <w:szCs w:val="32"/>
          <w:lang w:eastAsia="zh-CN"/>
        </w:rPr>
        <w:t>地方政策性粮食</w:t>
      </w:r>
      <w:r>
        <w:rPr>
          <w:rFonts w:hint="eastAsia" w:ascii="仿宋" w:hAnsi="仿宋" w:eastAsia="仿宋"/>
          <w:sz w:val="32"/>
          <w:szCs w:val="32"/>
        </w:rPr>
        <w:t>储备</w:t>
      </w:r>
      <w:r>
        <w:rPr>
          <w:rFonts w:hint="eastAsia" w:ascii="仿宋" w:hAnsi="仿宋" w:eastAsia="仿宋"/>
          <w:sz w:val="32"/>
          <w:szCs w:val="32"/>
          <w:lang w:eastAsia="zh-CN"/>
        </w:rPr>
        <w:t>企业</w:t>
      </w:r>
      <w:r>
        <w:rPr>
          <w:rFonts w:hint="eastAsia" w:ascii="仿宋" w:hAnsi="仿宋" w:eastAsia="仿宋"/>
          <w:sz w:val="32"/>
          <w:szCs w:val="32"/>
        </w:rPr>
        <w:t>（以下简称“卖方”）委托</w:t>
      </w:r>
      <w:r>
        <w:rPr>
          <w:rFonts w:hint="eastAsia" w:ascii="宋体" w:hAnsi="宋体"/>
          <w:sz w:val="32"/>
          <w:szCs w:val="32"/>
        </w:rPr>
        <w:t>，</w:t>
      </w:r>
      <w:r>
        <w:rPr>
          <w:rFonts w:hint="eastAsia" w:ascii="仿宋" w:hAnsi="仿宋" w:eastAsia="仿宋"/>
          <w:sz w:val="32"/>
          <w:szCs w:val="32"/>
        </w:rPr>
        <w:t>由武汉国家粮食交易中心（以下简称“交易中心”）承担湖北省临时储备粮（稻谷和小麦，下同）交易的组织工作。参加交易的各方必须遵守本细则。</w:t>
      </w:r>
    </w:p>
    <w:p>
      <w:pPr>
        <w:snapToGrid w:val="0"/>
        <w:spacing w:line="360" w:lineRule="auto"/>
        <w:ind w:firstLine="643" w:firstLineChars="200"/>
        <w:rPr>
          <w:rFonts w:hint="eastAsia" w:ascii="仿宋" w:hAnsi="仿宋" w:eastAsia="仿宋" w:cs="宋体"/>
          <w:kern w:val="0"/>
          <w:sz w:val="32"/>
          <w:szCs w:val="32"/>
        </w:rPr>
      </w:pPr>
      <w:r>
        <w:rPr>
          <w:rFonts w:hint="eastAsia" w:ascii="仿宋" w:hAnsi="仿宋" w:eastAsia="仿宋"/>
          <w:b/>
          <w:sz w:val="32"/>
          <w:szCs w:val="32"/>
        </w:rPr>
        <w:t>第三条</w:t>
      </w:r>
      <w:r>
        <w:rPr>
          <w:rFonts w:ascii="仿宋" w:hAnsi="仿宋" w:eastAsia="仿宋"/>
          <w:b/>
          <w:sz w:val="32"/>
          <w:szCs w:val="32"/>
        </w:rPr>
        <w:t xml:space="preserve">  </w:t>
      </w:r>
      <w:r>
        <w:rPr>
          <w:rFonts w:hint="eastAsia" w:ascii="仿宋" w:hAnsi="仿宋" w:eastAsia="仿宋"/>
          <w:sz w:val="32"/>
          <w:szCs w:val="32"/>
          <w:lang w:eastAsia="zh-CN"/>
        </w:rPr>
        <w:t>湖北省临时储备粮</w:t>
      </w:r>
      <w:r>
        <w:rPr>
          <w:rFonts w:hint="eastAsia" w:ascii="仿宋" w:hAnsi="仿宋" w:eastAsia="仿宋"/>
          <w:sz w:val="32"/>
          <w:szCs w:val="32"/>
        </w:rPr>
        <w:t>交易</w:t>
      </w:r>
      <w:r>
        <w:rPr>
          <w:rFonts w:hint="eastAsia" w:ascii="仿宋" w:hAnsi="仿宋" w:eastAsia="仿宋"/>
          <w:spacing w:val="6"/>
          <w:sz w:val="32"/>
          <w:szCs w:val="32"/>
          <w:lang w:val="zh-CN"/>
        </w:rPr>
        <w:t>通过国家粮食电子交易平台进行。交货仓库为卖方确定的各承储库（实际存储库点），承储库作为卖方的代表，具体负责粮食出库，并承担相应责任。为便于监管，由全省粮源储存地、毗邻地</w:t>
      </w:r>
      <w:r>
        <w:rPr>
          <w:rFonts w:hint="eastAsia" w:ascii="仿宋" w:hAnsi="仿宋" w:eastAsia="仿宋"/>
          <w:spacing w:val="6"/>
          <w:sz w:val="32"/>
          <w:szCs w:val="32"/>
          <w:lang w:val="zh-CN" w:eastAsia="zh-CN"/>
        </w:rPr>
        <w:t>发改（</w:t>
      </w:r>
      <w:r>
        <w:rPr>
          <w:rFonts w:hint="eastAsia" w:ascii="仿宋" w:hAnsi="仿宋" w:eastAsia="仿宋"/>
          <w:spacing w:val="6"/>
          <w:sz w:val="32"/>
          <w:szCs w:val="32"/>
          <w:lang w:val="zh-CN"/>
        </w:rPr>
        <w:t>粮食）行政主管部门推荐或者卖方按照信誉好、加工生产正常、无不良记录的标准确定购买企业（以下简称“买方”），大米加工企业参加稻谷竞拍，面粉加工企业参加小麦竞拍，饲料、酒精、工业用粮加工企业参加饲料粮和非食用工业用粮竞拍，在交易委托书中予以明确，</w:t>
      </w:r>
      <w:r>
        <w:rPr>
          <w:rFonts w:hint="eastAsia" w:ascii="仿宋" w:hAnsi="仿宋" w:eastAsia="仿宋"/>
          <w:spacing w:val="6"/>
          <w:sz w:val="32"/>
          <w:szCs w:val="32"/>
          <w:lang w:val="zh-CN" w:eastAsia="zh-CN"/>
        </w:rPr>
        <w:t>并</w:t>
      </w:r>
      <w:r>
        <w:rPr>
          <w:rFonts w:hint="eastAsia" w:ascii="仿宋" w:hAnsi="仿宋" w:eastAsia="仿宋"/>
          <w:spacing w:val="6"/>
          <w:sz w:val="32"/>
          <w:szCs w:val="32"/>
          <w:lang w:val="zh-CN"/>
        </w:rPr>
        <w:t>报当地</w:t>
      </w:r>
      <w:r>
        <w:rPr>
          <w:rFonts w:hint="eastAsia" w:ascii="仿宋" w:hAnsi="仿宋" w:eastAsia="仿宋"/>
          <w:spacing w:val="6"/>
          <w:sz w:val="32"/>
          <w:szCs w:val="32"/>
          <w:lang w:val="zh-CN" w:eastAsia="zh-CN"/>
        </w:rPr>
        <w:t>发改（</w:t>
      </w:r>
      <w:r>
        <w:rPr>
          <w:rFonts w:hint="eastAsia" w:ascii="仿宋" w:hAnsi="仿宋" w:eastAsia="仿宋"/>
          <w:spacing w:val="6"/>
          <w:sz w:val="32"/>
          <w:szCs w:val="32"/>
          <w:lang w:val="zh-CN"/>
        </w:rPr>
        <w:t>粮食）行政主管部门备案。</w:t>
      </w:r>
      <w:r>
        <w:rPr>
          <w:rFonts w:hint="eastAsia" w:ascii="仿宋" w:hAnsi="仿宋" w:eastAsia="仿宋" w:cs="Arial"/>
          <w:kern w:val="0"/>
          <w:sz w:val="32"/>
          <w:szCs w:val="32"/>
        </w:rPr>
        <w:t>参与竞买的企业必须与当地</w:t>
      </w:r>
      <w:r>
        <w:rPr>
          <w:rFonts w:hint="eastAsia" w:ascii="仿宋" w:hAnsi="仿宋" w:eastAsia="仿宋" w:cs="Arial"/>
          <w:kern w:val="0"/>
          <w:sz w:val="32"/>
          <w:szCs w:val="32"/>
          <w:lang w:eastAsia="zh-CN"/>
        </w:rPr>
        <w:t>发改（</w:t>
      </w:r>
      <w:r>
        <w:rPr>
          <w:rFonts w:hint="eastAsia" w:ascii="仿宋" w:hAnsi="仿宋" w:eastAsia="仿宋"/>
          <w:spacing w:val="6"/>
          <w:sz w:val="32"/>
          <w:szCs w:val="32"/>
          <w:lang w:val="zh-CN"/>
        </w:rPr>
        <w:t>粮食）行政主管部门</w:t>
      </w:r>
      <w:r>
        <w:rPr>
          <w:rFonts w:hint="eastAsia" w:ascii="仿宋" w:hAnsi="仿宋" w:eastAsia="仿宋" w:cs="Arial"/>
          <w:kern w:val="0"/>
          <w:sz w:val="32"/>
          <w:szCs w:val="32"/>
        </w:rPr>
        <w:t>签署《承诺书》，承诺所购买的粮食按规定</w:t>
      </w:r>
      <w:r>
        <w:rPr>
          <w:rFonts w:hint="eastAsia" w:ascii="仿宋" w:hAnsi="仿宋" w:eastAsia="仿宋" w:cs="Arial"/>
          <w:kern w:val="0"/>
          <w:sz w:val="32"/>
          <w:szCs w:val="32"/>
          <w:lang w:eastAsia="zh-CN"/>
        </w:rPr>
        <w:t>进行运输、储存、加工和销售，只限于生产自用</w:t>
      </w:r>
      <w:r>
        <w:rPr>
          <w:rFonts w:hint="eastAsia" w:ascii="仿宋" w:hAnsi="仿宋" w:eastAsia="仿宋" w:cs="Arial"/>
          <w:kern w:val="0"/>
          <w:sz w:val="32"/>
          <w:szCs w:val="32"/>
        </w:rPr>
        <w:t>，不</w:t>
      </w:r>
      <w:r>
        <w:rPr>
          <w:rFonts w:hint="eastAsia" w:ascii="仿宋" w:hAnsi="仿宋" w:eastAsia="仿宋" w:cs="Arial"/>
          <w:kern w:val="0"/>
          <w:sz w:val="32"/>
          <w:szCs w:val="32"/>
          <w:lang w:eastAsia="zh-CN"/>
        </w:rPr>
        <w:t>改变用途，不</w:t>
      </w:r>
      <w:r>
        <w:rPr>
          <w:rFonts w:hint="eastAsia" w:ascii="仿宋" w:hAnsi="仿宋" w:eastAsia="仿宋" w:cs="Arial"/>
          <w:kern w:val="0"/>
          <w:sz w:val="32"/>
          <w:szCs w:val="32"/>
        </w:rPr>
        <w:t>转让倒卖，</w:t>
      </w:r>
      <w:r>
        <w:rPr>
          <w:rFonts w:hint="eastAsia" w:ascii="仿宋" w:hAnsi="仿宋" w:eastAsia="仿宋" w:cs="Arial"/>
          <w:kern w:val="0"/>
          <w:sz w:val="32"/>
          <w:szCs w:val="32"/>
          <w:lang w:eastAsia="zh-CN"/>
        </w:rPr>
        <w:t>不在其他企业代储、代加工，</w:t>
      </w:r>
      <w:r>
        <w:rPr>
          <w:rFonts w:hint="eastAsia" w:ascii="仿宋" w:hAnsi="仿宋" w:eastAsia="仿宋" w:cs="Arial"/>
          <w:kern w:val="0"/>
          <w:sz w:val="32"/>
          <w:szCs w:val="32"/>
        </w:rPr>
        <w:t>自觉接受</w:t>
      </w:r>
      <w:r>
        <w:rPr>
          <w:rFonts w:hint="eastAsia" w:ascii="仿宋" w:hAnsi="仿宋" w:eastAsia="仿宋" w:cs="Arial"/>
          <w:kern w:val="0"/>
          <w:sz w:val="32"/>
          <w:szCs w:val="32"/>
          <w:lang w:eastAsia="zh-CN"/>
        </w:rPr>
        <w:t>有关职能部门</w:t>
      </w:r>
      <w:r>
        <w:rPr>
          <w:rFonts w:hint="eastAsia" w:ascii="仿宋" w:hAnsi="仿宋" w:eastAsia="仿宋" w:cs="Arial"/>
          <w:kern w:val="0"/>
          <w:sz w:val="32"/>
          <w:szCs w:val="32"/>
        </w:rPr>
        <w:t>的全程监</w:t>
      </w:r>
      <w:r>
        <w:rPr>
          <w:rFonts w:hint="eastAsia" w:ascii="仿宋" w:hAnsi="仿宋" w:eastAsia="仿宋" w:cs="Arial"/>
          <w:kern w:val="0"/>
          <w:sz w:val="32"/>
          <w:szCs w:val="32"/>
          <w:lang w:eastAsia="zh-CN"/>
        </w:rPr>
        <w:t>管</w:t>
      </w:r>
      <w:r>
        <w:rPr>
          <w:rFonts w:hint="eastAsia" w:ascii="仿宋" w:hAnsi="仿宋" w:eastAsia="仿宋" w:cs="Arial"/>
          <w:kern w:val="0"/>
          <w:sz w:val="32"/>
          <w:szCs w:val="32"/>
        </w:rPr>
        <w:t>，</w:t>
      </w:r>
      <w:r>
        <w:rPr>
          <w:rFonts w:hint="eastAsia" w:ascii="仿宋" w:hAnsi="仿宋" w:eastAsia="仿宋" w:cs="Arial"/>
          <w:kern w:val="0"/>
          <w:sz w:val="32"/>
          <w:szCs w:val="32"/>
          <w:lang w:eastAsia="zh-CN"/>
        </w:rPr>
        <w:t>保证处置后的上市产品符合有关标准、入市渠道符合有关要求；对销售产品的质量安全负责等</w:t>
      </w:r>
      <w:r>
        <w:rPr>
          <w:rFonts w:hint="eastAsia" w:ascii="仿宋" w:hAnsi="仿宋" w:eastAsia="仿宋" w:cs="Arial"/>
          <w:kern w:val="0"/>
          <w:sz w:val="32"/>
          <w:szCs w:val="32"/>
        </w:rPr>
        <w:t>。</w:t>
      </w:r>
    </w:p>
    <w:p>
      <w:pPr>
        <w:snapToGrid w:val="0"/>
        <w:spacing w:line="360" w:lineRule="auto"/>
        <w:ind w:firstLine="640" w:firstLineChars="200"/>
        <w:rPr>
          <w:rFonts w:ascii="仿宋" w:hAnsi="仿宋" w:eastAsia="仿宋"/>
          <w:sz w:val="32"/>
          <w:szCs w:val="32"/>
        </w:rPr>
      </w:pP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第二章</w:t>
      </w:r>
      <w:r>
        <w:rPr>
          <w:rFonts w:ascii="黑体" w:hAnsi="黑体" w:eastAsia="黑体"/>
          <w:bCs/>
          <w:sz w:val="32"/>
          <w:szCs w:val="32"/>
        </w:rPr>
        <w:t xml:space="preserve">  </w:t>
      </w:r>
      <w:r>
        <w:rPr>
          <w:rFonts w:hint="eastAsia" w:ascii="黑体" w:hAnsi="黑体" w:eastAsia="黑体"/>
          <w:bCs/>
          <w:sz w:val="32"/>
          <w:szCs w:val="32"/>
        </w:rPr>
        <w:t>交易准备</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第四条</w:t>
      </w:r>
      <w:r>
        <w:rPr>
          <w:rFonts w:ascii="仿宋" w:hAnsi="仿宋" w:eastAsia="仿宋"/>
          <w:b/>
          <w:sz w:val="32"/>
          <w:szCs w:val="32"/>
        </w:rPr>
        <w:t xml:space="preserve">  </w:t>
      </w:r>
      <w:r>
        <w:rPr>
          <w:rFonts w:hint="eastAsia" w:ascii="仿宋" w:hAnsi="仿宋" w:eastAsia="仿宋"/>
          <w:sz w:val="32"/>
          <w:szCs w:val="32"/>
          <w:lang w:eastAsia="zh-CN"/>
        </w:rPr>
        <w:t>湖北省临时储备粮</w:t>
      </w:r>
      <w:r>
        <w:rPr>
          <w:rFonts w:hint="eastAsia" w:ascii="仿宋" w:hAnsi="仿宋" w:eastAsia="仿宋"/>
          <w:sz w:val="32"/>
          <w:szCs w:val="32"/>
        </w:rPr>
        <w:t>交易，销售时间和底价由卖方确定。销售前由卖方向交易中心提供</w:t>
      </w:r>
      <w:r>
        <w:rPr>
          <w:rFonts w:hint="eastAsia" w:ascii="仿宋" w:hAnsi="仿宋" w:eastAsia="仿宋"/>
          <w:sz w:val="32"/>
          <w:szCs w:val="32"/>
          <w:lang w:eastAsia="zh-CN"/>
        </w:rPr>
        <w:t>批复处置文件、</w:t>
      </w:r>
      <w:r>
        <w:rPr>
          <w:rFonts w:hint="eastAsia" w:ascii="仿宋" w:hAnsi="仿宋" w:eastAsia="仿宋"/>
          <w:sz w:val="32"/>
          <w:szCs w:val="32"/>
        </w:rPr>
        <w:t>交易委托书、交易清单、质检报告</w:t>
      </w:r>
      <w:r>
        <w:rPr>
          <w:rFonts w:hint="eastAsia" w:ascii="仿宋" w:hAnsi="仿宋" w:eastAsia="仿宋"/>
          <w:sz w:val="32"/>
          <w:szCs w:val="32"/>
          <w:lang w:eastAsia="zh-CN"/>
        </w:rPr>
        <w:t>、</w:t>
      </w:r>
      <w:r>
        <w:rPr>
          <w:rFonts w:hint="eastAsia" w:ascii="仿宋" w:hAnsi="仿宋" w:eastAsia="仿宋"/>
          <w:sz w:val="32"/>
          <w:szCs w:val="32"/>
        </w:rPr>
        <w:t>定向销售购买企业名单等相关内容</w:t>
      </w:r>
      <w:r>
        <w:rPr>
          <w:rFonts w:hint="eastAsia" w:ascii="仿宋" w:hAnsi="仿宋" w:eastAsia="仿宋"/>
          <w:sz w:val="32"/>
          <w:szCs w:val="32"/>
          <w:lang w:eastAsia="zh-CN"/>
        </w:rPr>
        <w:t>资料</w:t>
      </w:r>
      <w:r>
        <w:rPr>
          <w:rFonts w:hint="eastAsia" w:ascii="仿宋" w:hAnsi="仿宋" w:eastAsia="仿宋"/>
          <w:sz w:val="32"/>
          <w:szCs w:val="32"/>
        </w:rPr>
        <w:t>。</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第五条</w:t>
      </w:r>
      <w:r>
        <w:rPr>
          <w:rFonts w:ascii="仿宋" w:hAnsi="仿宋" w:eastAsia="仿宋"/>
          <w:sz w:val="32"/>
          <w:szCs w:val="32"/>
        </w:rPr>
        <w:t xml:space="preserve">  </w:t>
      </w:r>
      <w:r>
        <w:rPr>
          <w:rFonts w:hint="eastAsia" w:ascii="仿宋" w:hAnsi="仿宋" w:eastAsia="仿宋"/>
          <w:sz w:val="32"/>
          <w:szCs w:val="32"/>
        </w:rPr>
        <w:t>交易采用会员制。参加交易的买方、卖方须为国家粮食电子交易平台注册会员。交易中心将密钥、CA证书、用户代码、交易密码及相关资料发给会员交易代表，作为会员参与交易的资格凭证，属会员的商业机密，须妥善保管。因会员自身原因导致密钥遗失、信息泄露、非本人使用等情况产生的任何损失，由会员自行承担。会员必须按要求参加交易中心会员年审。</w:t>
      </w:r>
    </w:p>
    <w:p>
      <w:pPr>
        <w:snapToGrid w:val="0"/>
        <w:spacing w:line="360" w:lineRule="auto"/>
        <w:ind w:firstLine="640" w:firstLineChars="200"/>
        <w:rPr>
          <w:rFonts w:hint="eastAsia" w:ascii="仿宋" w:hAnsi="仿宋" w:eastAsia="仿宋" w:cs="Arial"/>
          <w:kern w:val="0"/>
          <w:sz w:val="32"/>
          <w:szCs w:val="32"/>
        </w:rPr>
      </w:pPr>
      <w:r>
        <w:rPr>
          <w:rFonts w:hint="eastAsia" w:ascii="仿宋" w:hAnsi="仿宋" w:eastAsia="仿宋"/>
          <w:sz w:val="32"/>
          <w:szCs w:val="32"/>
        </w:rPr>
        <w:t>买方交易客户须向交易中心提交</w:t>
      </w:r>
      <w:r>
        <w:rPr>
          <w:rFonts w:hint="eastAsia" w:ascii="仿宋" w:hAnsi="仿宋" w:eastAsia="仿宋" w:cs="Arial"/>
          <w:kern w:val="0"/>
          <w:sz w:val="32"/>
          <w:szCs w:val="32"/>
        </w:rPr>
        <w:t>与当地</w:t>
      </w:r>
      <w:r>
        <w:rPr>
          <w:rFonts w:hint="eastAsia" w:ascii="仿宋" w:hAnsi="仿宋" w:eastAsia="仿宋" w:cs="Arial"/>
          <w:kern w:val="0"/>
          <w:sz w:val="32"/>
          <w:szCs w:val="32"/>
          <w:lang w:eastAsia="zh-CN"/>
        </w:rPr>
        <w:t>发改（</w:t>
      </w:r>
      <w:r>
        <w:rPr>
          <w:rFonts w:hint="eastAsia" w:ascii="仿宋" w:hAnsi="仿宋" w:eastAsia="仿宋"/>
          <w:spacing w:val="6"/>
          <w:sz w:val="32"/>
          <w:szCs w:val="32"/>
          <w:lang w:val="zh-CN"/>
        </w:rPr>
        <w:t>粮食）行政主管部门</w:t>
      </w:r>
      <w:r>
        <w:rPr>
          <w:rFonts w:hint="eastAsia" w:ascii="仿宋" w:hAnsi="仿宋" w:eastAsia="仿宋" w:cs="Arial"/>
          <w:kern w:val="0"/>
          <w:sz w:val="32"/>
          <w:szCs w:val="32"/>
        </w:rPr>
        <w:t>签署的《承诺书》，否则不能参与交易。</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第六条  </w:t>
      </w:r>
      <w:r>
        <w:rPr>
          <w:rFonts w:hint="eastAsia" w:ascii="仿宋" w:hAnsi="仿宋" w:eastAsia="仿宋"/>
          <w:sz w:val="32"/>
          <w:szCs w:val="32"/>
        </w:rPr>
        <w:t>买方交易客户须向交易中心预交交易保证金10元/吨和履约保证金100元/吨，交易前必须到帐并向交易中心进行确认。保证金不足者不能继续交易。</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交易中心保证金及结算账户：</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开户银行：中国农业发展银行湖北省分行营业部</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户</w:t>
      </w:r>
      <w:r>
        <w:rPr>
          <w:rFonts w:ascii="仿宋" w:hAnsi="仿宋" w:eastAsia="仿宋"/>
          <w:sz w:val="32"/>
          <w:szCs w:val="32"/>
        </w:rPr>
        <w:t xml:space="preserve">    </w:t>
      </w:r>
      <w:r>
        <w:rPr>
          <w:rFonts w:hint="eastAsia" w:ascii="仿宋" w:hAnsi="仿宋" w:eastAsia="仿宋"/>
          <w:sz w:val="32"/>
          <w:szCs w:val="32"/>
        </w:rPr>
        <w:t>名：武汉国家粮食交易中心</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帐</w:t>
      </w:r>
      <w:r>
        <w:rPr>
          <w:rFonts w:ascii="仿宋" w:hAnsi="仿宋" w:eastAsia="仿宋"/>
          <w:sz w:val="32"/>
          <w:szCs w:val="32"/>
        </w:rPr>
        <w:t xml:space="preserve">    </w:t>
      </w:r>
      <w:r>
        <w:rPr>
          <w:rFonts w:hint="eastAsia" w:ascii="仿宋" w:hAnsi="仿宋" w:eastAsia="仿宋"/>
          <w:sz w:val="32"/>
          <w:szCs w:val="32"/>
        </w:rPr>
        <w:t>号：</w:t>
      </w:r>
      <w:r>
        <w:rPr>
          <w:rFonts w:ascii="仿宋" w:hAnsi="仿宋" w:eastAsia="仿宋"/>
          <w:sz w:val="32"/>
          <w:szCs w:val="32"/>
        </w:rPr>
        <w:t>20342999900100000159471</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开户</w:t>
      </w:r>
      <w:r>
        <w:rPr>
          <w:rFonts w:hint="eastAsia" w:ascii="仿宋" w:hAnsi="仿宋" w:eastAsia="仿宋"/>
          <w:sz w:val="32"/>
          <w:szCs w:val="32"/>
          <w:lang w:eastAsia="zh-CN"/>
        </w:rPr>
        <w:t>银行</w:t>
      </w:r>
      <w:r>
        <w:rPr>
          <w:rFonts w:hint="eastAsia" w:ascii="仿宋" w:hAnsi="仿宋" w:eastAsia="仿宋"/>
          <w:sz w:val="32"/>
          <w:szCs w:val="32"/>
        </w:rPr>
        <w:t>：中国银行武汉广埠屯支行</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户</w:t>
      </w:r>
      <w:r>
        <w:rPr>
          <w:rFonts w:hint="eastAsia" w:ascii="仿宋" w:hAnsi="仿宋" w:eastAsia="仿宋"/>
          <w:sz w:val="32"/>
          <w:szCs w:val="32"/>
          <w:lang w:val="en-US" w:eastAsia="zh-CN"/>
        </w:rPr>
        <w:t xml:space="preserve">    </w:t>
      </w:r>
      <w:r>
        <w:rPr>
          <w:rFonts w:hint="eastAsia" w:ascii="仿宋" w:hAnsi="仿宋" w:eastAsia="仿宋"/>
          <w:sz w:val="32"/>
          <w:szCs w:val="32"/>
        </w:rPr>
        <w:t>名：武汉国家粮食交易中心</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帐</w:t>
      </w:r>
      <w:r>
        <w:rPr>
          <w:rFonts w:hint="eastAsia" w:ascii="仿宋" w:hAnsi="仿宋" w:eastAsia="仿宋"/>
          <w:sz w:val="32"/>
          <w:szCs w:val="32"/>
          <w:lang w:val="en-US" w:eastAsia="zh-CN"/>
        </w:rPr>
        <w:t xml:space="preserve">    </w:t>
      </w:r>
      <w:r>
        <w:rPr>
          <w:rFonts w:hint="eastAsia" w:ascii="仿宋" w:hAnsi="仿宋" w:eastAsia="仿宋"/>
          <w:sz w:val="32"/>
          <w:szCs w:val="32"/>
        </w:rPr>
        <w:t>号：567757550111</w:t>
      </w:r>
    </w:p>
    <w:p>
      <w:pPr>
        <w:autoSpaceDE w:val="0"/>
        <w:autoSpaceDN w:val="0"/>
        <w:adjustRightInd w:val="0"/>
        <w:snapToGrid w:val="0"/>
        <w:spacing w:line="360" w:lineRule="auto"/>
        <w:ind w:firstLine="643" w:firstLineChars="200"/>
        <w:rPr>
          <w:rFonts w:ascii="仿宋" w:hAnsi="仿宋" w:eastAsia="仿宋"/>
          <w:sz w:val="32"/>
          <w:szCs w:val="32"/>
          <w:lang w:val="zh-CN"/>
        </w:rPr>
      </w:pPr>
      <w:r>
        <w:rPr>
          <w:rFonts w:hint="eastAsia" w:ascii="仿宋" w:hAnsi="仿宋" w:eastAsia="仿宋"/>
          <w:b/>
          <w:sz w:val="32"/>
          <w:szCs w:val="32"/>
        </w:rPr>
        <w:t>第七条</w:t>
      </w:r>
      <w:r>
        <w:rPr>
          <w:rFonts w:ascii="仿宋" w:hAnsi="仿宋" w:eastAsia="仿宋"/>
          <w:sz w:val="32"/>
          <w:szCs w:val="32"/>
        </w:rPr>
        <w:t xml:space="preserve">  </w:t>
      </w:r>
      <w:r>
        <w:rPr>
          <w:rFonts w:hint="eastAsia" w:ascii="仿宋" w:hAnsi="仿宋" w:eastAsia="仿宋"/>
          <w:sz w:val="32"/>
          <w:szCs w:val="32"/>
        </w:rPr>
        <w:t>根据有关文件精神,需要做好保密工作,该批粮食销售的交易细则、交易公告、交易清单及交易结果等相关资料不上网发布,交易中心将</w:t>
      </w:r>
      <w:r>
        <w:rPr>
          <w:rFonts w:hint="eastAsia" w:ascii="仿宋" w:hAnsi="仿宋" w:eastAsia="仿宋" w:cs="宋体"/>
          <w:spacing w:val="6"/>
          <w:kern w:val="0"/>
          <w:sz w:val="32"/>
          <w:szCs w:val="32"/>
          <w:lang w:val="zh-CN"/>
        </w:rPr>
        <w:t>通过指定QQ群</w:t>
      </w:r>
      <w:r>
        <w:rPr>
          <w:rFonts w:hint="eastAsia" w:ascii="仿宋" w:hAnsi="仿宋" w:eastAsia="仿宋"/>
          <w:sz w:val="32"/>
          <w:szCs w:val="32"/>
        </w:rPr>
        <w:t>发布，定向销售购买企业应通过此QQ群及时了解交易相关信息。</w:t>
      </w:r>
    </w:p>
    <w:p>
      <w:pPr>
        <w:snapToGrid w:val="0"/>
        <w:spacing w:line="360" w:lineRule="auto"/>
        <w:ind w:firstLine="640" w:firstLineChars="200"/>
        <w:rPr>
          <w:rFonts w:hint="eastAsia" w:ascii="黑体" w:hAnsi="黑体" w:eastAsia="黑体"/>
          <w:bCs/>
          <w:sz w:val="32"/>
          <w:szCs w:val="32"/>
        </w:rPr>
      </w:pP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第三章</w:t>
      </w:r>
      <w:r>
        <w:rPr>
          <w:rFonts w:ascii="黑体" w:hAnsi="黑体" w:eastAsia="黑体"/>
          <w:bCs/>
          <w:sz w:val="32"/>
          <w:szCs w:val="32"/>
        </w:rPr>
        <w:t xml:space="preserve">  </w:t>
      </w:r>
      <w:r>
        <w:rPr>
          <w:rFonts w:hint="eastAsia" w:ascii="黑体" w:hAnsi="黑体" w:eastAsia="黑体"/>
          <w:bCs/>
          <w:sz w:val="32"/>
          <w:szCs w:val="32"/>
        </w:rPr>
        <w:t>交易地点、时间</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lang w:eastAsia="zh-CN"/>
        </w:rPr>
        <w:t>现场</w:t>
      </w:r>
      <w:r>
        <w:rPr>
          <w:rFonts w:hint="eastAsia" w:ascii="仿宋" w:hAnsi="仿宋" w:eastAsia="仿宋"/>
          <w:sz w:val="32"/>
          <w:szCs w:val="32"/>
        </w:rPr>
        <w:t>交易地点设在武汉国家粮食交易中心交易大厅（武汉市武昌区武珞路</w:t>
      </w:r>
      <w:r>
        <w:rPr>
          <w:rFonts w:ascii="仿宋" w:hAnsi="仿宋" w:eastAsia="仿宋"/>
          <w:sz w:val="32"/>
          <w:szCs w:val="32"/>
        </w:rPr>
        <w:t>456</w:t>
      </w:r>
      <w:r>
        <w:rPr>
          <w:rFonts w:hint="eastAsia" w:ascii="仿宋" w:hAnsi="仿宋" w:eastAsia="仿宋"/>
          <w:sz w:val="32"/>
          <w:szCs w:val="32"/>
        </w:rPr>
        <w:t>号新时代商务中心</w:t>
      </w:r>
      <w:r>
        <w:rPr>
          <w:rFonts w:ascii="仿宋" w:hAnsi="仿宋" w:eastAsia="仿宋"/>
          <w:sz w:val="32"/>
          <w:szCs w:val="32"/>
        </w:rPr>
        <w:t>35</w:t>
      </w:r>
      <w:r>
        <w:rPr>
          <w:rFonts w:hint="eastAsia" w:ascii="仿宋" w:hAnsi="仿宋" w:eastAsia="仿宋"/>
          <w:sz w:val="32"/>
          <w:szCs w:val="32"/>
        </w:rPr>
        <w:t>楼）</w:t>
      </w:r>
      <w:r>
        <w:rPr>
          <w:rFonts w:hint="eastAsia" w:ascii="仿宋" w:hAnsi="仿宋" w:eastAsia="仿宋"/>
          <w:sz w:val="32"/>
          <w:szCs w:val="32"/>
          <w:lang w:eastAsia="zh-CN"/>
        </w:rPr>
        <w:t>，在线交易通过国家粮食电子交易平台进行</w:t>
      </w:r>
      <w:r>
        <w:rPr>
          <w:rFonts w:hint="eastAsia"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交易时间以交易公告发布的时间为准。</w:t>
      </w:r>
    </w:p>
    <w:p>
      <w:pPr>
        <w:snapToGrid w:val="0"/>
        <w:spacing w:line="360" w:lineRule="auto"/>
        <w:ind w:firstLine="643" w:firstLineChars="200"/>
        <w:rPr>
          <w:rFonts w:ascii="仿宋" w:hAnsi="仿宋" w:eastAsia="仿宋" w:cs="宋体"/>
          <w:kern w:val="0"/>
          <w:sz w:val="32"/>
          <w:szCs w:val="32"/>
        </w:rPr>
      </w:pPr>
      <w:r>
        <w:rPr>
          <w:rFonts w:hint="eastAsia" w:ascii="仿宋" w:hAnsi="仿宋" w:eastAsia="仿宋"/>
          <w:b/>
          <w:sz w:val="32"/>
          <w:szCs w:val="32"/>
        </w:rPr>
        <w:t>第九条</w:t>
      </w:r>
      <w:r>
        <w:rPr>
          <w:rFonts w:ascii="仿宋" w:hAnsi="仿宋" w:eastAsia="仿宋"/>
          <w:sz w:val="32"/>
          <w:szCs w:val="32"/>
        </w:rPr>
        <w:t xml:space="preserve">  </w:t>
      </w:r>
      <w:r>
        <w:rPr>
          <w:rFonts w:hint="eastAsia" w:ascii="仿宋" w:hAnsi="仿宋" w:eastAsia="仿宋" w:cs="宋体"/>
          <w:kern w:val="0"/>
          <w:sz w:val="32"/>
          <w:szCs w:val="32"/>
        </w:rPr>
        <w:t>因公共网络故障等不可抗力造成交易中断的，交易中心有权推迟或暂停交易。</w:t>
      </w:r>
    </w:p>
    <w:p>
      <w:pPr>
        <w:snapToGrid w:val="0"/>
        <w:spacing w:line="360" w:lineRule="auto"/>
        <w:ind w:firstLine="643" w:firstLineChars="200"/>
        <w:rPr>
          <w:rFonts w:hint="eastAsia" w:ascii="仿宋" w:hAnsi="仿宋" w:eastAsia="仿宋"/>
          <w:sz w:val="32"/>
          <w:szCs w:val="32"/>
        </w:rPr>
      </w:pPr>
      <w:r>
        <w:rPr>
          <w:rFonts w:hint="eastAsia" w:ascii="仿宋" w:hAnsi="仿宋" w:eastAsia="仿宋"/>
          <w:b/>
          <w:sz w:val="32"/>
          <w:szCs w:val="32"/>
        </w:rPr>
        <w:t>第十条</w:t>
      </w:r>
      <w:r>
        <w:rPr>
          <w:rFonts w:ascii="仿宋" w:hAnsi="仿宋" w:eastAsia="仿宋"/>
          <w:sz w:val="32"/>
          <w:szCs w:val="32"/>
        </w:rPr>
        <w:t xml:space="preserve">  </w:t>
      </w:r>
      <w:r>
        <w:rPr>
          <w:rFonts w:hint="eastAsia" w:ascii="仿宋" w:hAnsi="仿宋" w:eastAsia="仿宋"/>
          <w:sz w:val="32"/>
          <w:szCs w:val="32"/>
        </w:rPr>
        <w:t>交易时间如有变更，交易中心将提前通知。</w:t>
      </w:r>
    </w:p>
    <w:p>
      <w:pPr>
        <w:snapToGrid w:val="0"/>
        <w:spacing w:line="360" w:lineRule="auto"/>
        <w:ind w:firstLine="640" w:firstLineChars="200"/>
        <w:rPr>
          <w:rFonts w:hint="eastAsia" w:ascii="仿宋" w:hAnsi="仿宋" w:eastAsia="仿宋"/>
          <w:sz w:val="32"/>
          <w:szCs w:val="32"/>
        </w:rPr>
      </w:pP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第四章</w:t>
      </w:r>
      <w:r>
        <w:rPr>
          <w:rFonts w:ascii="黑体" w:hAnsi="黑体" w:eastAsia="黑体"/>
          <w:bCs/>
          <w:sz w:val="32"/>
          <w:szCs w:val="32"/>
        </w:rPr>
        <w:t xml:space="preserve">  </w:t>
      </w:r>
      <w:r>
        <w:rPr>
          <w:rFonts w:hint="eastAsia" w:ascii="黑体" w:hAnsi="黑体" w:eastAsia="黑体"/>
          <w:bCs/>
          <w:sz w:val="32"/>
          <w:szCs w:val="32"/>
        </w:rPr>
        <w:t>交易秩序</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第十一条</w:t>
      </w:r>
      <w:r>
        <w:rPr>
          <w:rFonts w:ascii="仿宋" w:hAnsi="仿宋" w:eastAsia="仿宋"/>
          <w:sz w:val="32"/>
          <w:szCs w:val="32"/>
        </w:rPr>
        <w:t xml:space="preserve">  </w:t>
      </w:r>
      <w:r>
        <w:rPr>
          <w:rFonts w:hint="eastAsia" w:ascii="仿宋" w:hAnsi="仿宋" w:eastAsia="仿宋"/>
          <w:sz w:val="32"/>
          <w:szCs w:val="32"/>
          <w:lang w:val="zh-CN"/>
        </w:rPr>
        <w:t>交易活动按照交易中心确定的交易方式、交易程序进行。交易中心有权根据情况进行调整，但应按</w:t>
      </w:r>
      <w:r>
        <w:rPr>
          <w:rFonts w:hint="eastAsia" w:ascii="仿宋" w:hAnsi="仿宋" w:eastAsia="仿宋"/>
          <w:sz w:val="32"/>
          <w:szCs w:val="32"/>
        </w:rPr>
        <w:t>本细则</w:t>
      </w:r>
      <w:r>
        <w:rPr>
          <w:rFonts w:hint="eastAsia" w:ascii="仿宋" w:hAnsi="仿宋" w:eastAsia="仿宋"/>
          <w:sz w:val="32"/>
          <w:szCs w:val="32"/>
          <w:lang w:val="zh-CN"/>
        </w:rPr>
        <w:t>第七条所列方式进行通知。</w:t>
      </w:r>
    </w:p>
    <w:p>
      <w:pPr>
        <w:snapToGrid w:val="0"/>
        <w:spacing w:line="360" w:lineRule="auto"/>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ascii="仿宋" w:hAnsi="仿宋" w:eastAsia="仿宋"/>
          <w:sz w:val="32"/>
          <w:szCs w:val="32"/>
        </w:rPr>
        <w:t xml:space="preserve">  </w:t>
      </w:r>
      <w:r>
        <w:rPr>
          <w:rFonts w:hint="eastAsia" w:ascii="仿宋" w:hAnsi="仿宋" w:eastAsia="仿宋"/>
          <w:sz w:val="32"/>
          <w:szCs w:val="32"/>
        </w:rPr>
        <w:t>禁止恶意串通交易价格等违反交易规则的一切行为。对严重扰乱交易秩序的人员，交易中心有权取消其交易资格并责令其离场。</w:t>
      </w:r>
    </w:p>
    <w:p>
      <w:pPr>
        <w:snapToGrid w:val="0"/>
        <w:spacing w:line="360" w:lineRule="auto"/>
        <w:ind w:firstLine="640" w:firstLineChars="200"/>
        <w:rPr>
          <w:rFonts w:ascii="仿宋" w:hAnsi="仿宋" w:eastAsia="仿宋"/>
          <w:sz w:val="32"/>
          <w:szCs w:val="32"/>
        </w:rPr>
      </w:pP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第五章</w:t>
      </w:r>
      <w:r>
        <w:rPr>
          <w:rFonts w:ascii="黑体" w:hAnsi="黑体" w:eastAsia="黑体"/>
          <w:bCs/>
          <w:sz w:val="32"/>
          <w:szCs w:val="32"/>
        </w:rPr>
        <w:t xml:space="preserve">  </w:t>
      </w:r>
      <w:r>
        <w:rPr>
          <w:rFonts w:hint="eastAsia" w:ascii="黑体" w:hAnsi="黑体" w:eastAsia="黑体"/>
          <w:bCs/>
          <w:sz w:val="32"/>
          <w:szCs w:val="32"/>
        </w:rPr>
        <w:t>交易程序</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第十三条</w:t>
      </w:r>
      <w:r>
        <w:rPr>
          <w:rFonts w:ascii="仿宋" w:hAnsi="仿宋" w:eastAsia="仿宋"/>
          <w:sz w:val="32"/>
          <w:szCs w:val="32"/>
        </w:rPr>
        <w:t xml:space="preserve">  </w:t>
      </w:r>
      <w:r>
        <w:rPr>
          <w:rFonts w:hint="eastAsia" w:ascii="仿宋" w:hAnsi="仿宋" w:eastAsia="仿宋"/>
          <w:sz w:val="32"/>
          <w:szCs w:val="32"/>
          <w:lang w:val="zh-CN"/>
        </w:rPr>
        <w:t>交易报价为</w:t>
      </w:r>
      <w:r>
        <w:rPr>
          <w:rFonts w:hint="eastAsia" w:ascii="仿宋" w:hAnsi="仿宋" w:eastAsia="仿宋"/>
          <w:sz w:val="32"/>
          <w:szCs w:val="32"/>
        </w:rPr>
        <w:t>卖方仓库</w:t>
      </w:r>
      <w:r>
        <w:rPr>
          <w:rFonts w:hint="eastAsia" w:ascii="仿宋" w:hAnsi="仿宋" w:eastAsia="仿宋" w:cs="宋体"/>
          <w:kern w:val="0"/>
          <w:sz w:val="32"/>
          <w:szCs w:val="32"/>
        </w:rPr>
        <w:t>仓堆交货价</w:t>
      </w:r>
      <w:r>
        <w:rPr>
          <w:rFonts w:hint="eastAsia" w:ascii="仿宋" w:hAnsi="仿宋" w:eastAsia="仿宋"/>
          <w:sz w:val="32"/>
          <w:szCs w:val="32"/>
        </w:rPr>
        <w:t>，包装及出库以后的所有费用由买方承担。</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第十四条</w:t>
      </w:r>
      <w:r>
        <w:rPr>
          <w:rFonts w:ascii="仿宋" w:hAnsi="仿宋" w:eastAsia="仿宋"/>
          <w:sz w:val="32"/>
          <w:szCs w:val="32"/>
        </w:rPr>
        <w:t xml:space="preserve">  </w:t>
      </w:r>
      <w:r>
        <w:rPr>
          <w:rFonts w:hint="eastAsia" w:ascii="仿宋" w:hAnsi="仿宋" w:eastAsia="仿宋"/>
          <w:sz w:val="32"/>
          <w:szCs w:val="32"/>
        </w:rPr>
        <w:t>交易按委托标的序号顺序，分交易节依次进行。</w:t>
      </w:r>
    </w:p>
    <w:p>
      <w:pPr>
        <w:snapToGrid w:val="0"/>
        <w:spacing w:line="360" w:lineRule="auto"/>
        <w:ind w:firstLine="643" w:firstLineChars="200"/>
        <w:rPr>
          <w:rFonts w:ascii="仿宋" w:hAnsi="仿宋" w:eastAsia="仿宋"/>
          <w:kern w:val="0"/>
          <w:sz w:val="32"/>
          <w:szCs w:val="32"/>
        </w:rPr>
      </w:pPr>
      <w:r>
        <w:rPr>
          <w:rFonts w:hint="eastAsia" w:ascii="仿宋" w:hAnsi="仿宋" w:eastAsia="仿宋"/>
          <w:b/>
          <w:sz w:val="32"/>
          <w:szCs w:val="32"/>
        </w:rPr>
        <w:t>第十五条</w:t>
      </w:r>
      <w:r>
        <w:rPr>
          <w:rFonts w:ascii="仿宋" w:hAnsi="仿宋" w:eastAsia="仿宋"/>
          <w:sz w:val="32"/>
          <w:szCs w:val="32"/>
        </w:rPr>
        <w:t xml:space="preserve">  </w:t>
      </w:r>
      <w:r>
        <w:rPr>
          <w:rFonts w:hint="eastAsia" w:ascii="仿宋" w:hAnsi="仿宋" w:eastAsia="仿宋"/>
          <w:kern w:val="0"/>
          <w:sz w:val="32"/>
          <w:szCs w:val="32"/>
        </w:rPr>
        <w:t>开市后，</w:t>
      </w:r>
      <w:r>
        <w:rPr>
          <w:rFonts w:hint="eastAsia" w:ascii="仿宋" w:hAnsi="仿宋" w:eastAsia="仿宋"/>
          <w:kern w:val="0"/>
          <w:sz w:val="32"/>
          <w:szCs w:val="32"/>
          <w:lang w:eastAsia="zh-CN"/>
        </w:rPr>
        <w:t>买方</w:t>
      </w:r>
      <w:r>
        <w:rPr>
          <w:rFonts w:hint="eastAsia" w:ascii="仿宋" w:hAnsi="仿宋" w:eastAsia="仿宋"/>
          <w:kern w:val="0"/>
          <w:sz w:val="32"/>
          <w:szCs w:val="32"/>
        </w:rPr>
        <w:t>通过计算机按交易节逐节进行交易。每笔交易从起拍价开始报价，并按每吨</w:t>
      </w:r>
      <w:r>
        <w:rPr>
          <w:rFonts w:ascii="仿宋" w:hAnsi="仿宋" w:eastAsia="仿宋"/>
          <w:kern w:val="0"/>
          <w:sz w:val="32"/>
          <w:szCs w:val="32"/>
        </w:rPr>
        <w:t>10</w:t>
      </w:r>
      <w:r>
        <w:rPr>
          <w:rFonts w:hint="eastAsia" w:ascii="仿宋" w:hAnsi="仿宋" w:eastAsia="仿宋"/>
          <w:kern w:val="0"/>
          <w:sz w:val="32"/>
          <w:szCs w:val="32"/>
        </w:rPr>
        <w:t>元的价位递升报价。</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第十六条</w:t>
      </w:r>
      <w:r>
        <w:rPr>
          <w:rFonts w:ascii="仿宋" w:hAnsi="仿宋" w:eastAsia="仿宋"/>
          <w:sz w:val="32"/>
          <w:szCs w:val="32"/>
        </w:rPr>
        <w:t xml:space="preserve">  </w:t>
      </w:r>
      <w:r>
        <w:rPr>
          <w:rFonts w:hint="eastAsia" w:ascii="仿宋" w:hAnsi="仿宋" w:eastAsia="仿宋"/>
          <w:sz w:val="32"/>
          <w:szCs w:val="32"/>
        </w:rPr>
        <w:t>在</w:t>
      </w:r>
      <w:r>
        <w:rPr>
          <w:rFonts w:hint="eastAsia" w:ascii="仿宋" w:hAnsi="仿宋" w:eastAsia="仿宋"/>
          <w:kern w:val="0"/>
          <w:sz w:val="32"/>
          <w:szCs w:val="32"/>
        </w:rPr>
        <w:t>起拍价</w:t>
      </w:r>
      <w:r>
        <w:rPr>
          <w:rFonts w:hint="eastAsia" w:ascii="仿宋" w:hAnsi="仿宋" w:eastAsia="仿宋"/>
          <w:sz w:val="32"/>
          <w:szCs w:val="32"/>
        </w:rPr>
        <w:t>位上无人应价时，即撤销该笔交易。</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第十七条</w:t>
      </w:r>
      <w:r>
        <w:rPr>
          <w:rFonts w:ascii="仿宋" w:hAnsi="仿宋" w:eastAsia="仿宋"/>
          <w:sz w:val="32"/>
          <w:szCs w:val="32"/>
        </w:rPr>
        <w:t xml:space="preserve">  </w:t>
      </w:r>
      <w:r>
        <w:rPr>
          <w:rFonts w:hint="eastAsia" w:ascii="仿宋" w:hAnsi="仿宋" w:eastAsia="仿宋"/>
          <w:sz w:val="32"/>
          <w:szCs w:val="32"/>
          <w:lang w:eastAsia="zh-CN"/>
        </w:rPr>
        <w:t>买方</w:t>
      </w:r>
      <w:r>
        <w:rPr>
          <w:rFonts w:hint="eastAsia" w:ascii="仿宋" w:hAnsi="仿宋" w:eastAsia="仿宋"/>
          <w:sz w:val="32"/>
          <w:szCs w:val="32"/>
        </w:rPr>
        <w:t>应点击计算机报价，</w:t>
      </w:r>
      <w:r>
        <w:rPr>
          <w:rFonts w:hint="eastAsia" w:ascii="仿宋" w:hAnsi="仿宋" w:eastAsia="仿宋"/>
          <w:sz w:val="32"/>
          <w:szCs w:val="32"/>
          <w:lang w:eastAsia="zh-CN"/>
        </w:rPr>
        <w:t>购买</w:t>
      </w:r>
      <w:r>
        <w:rPr>
          <w:rFonts w:hint="eastAsia" w:ascii="仿宋" w:hAnsi="仿宋" w:eastAsia="仿宋"/>
          <w:sz w:val="32"/>
          <w:szCs w:val="32"/>
        </w:rPr>
        <w:t>数量已超过预交保证金所能购买数量的不可再参加</w:t>
      </w:r>
      <w:r>
        <w:rPr>
          <w:rFonts w:hint="eastAsia" w:ascii="仿宋" w:hAnsi="仿宋" w:eastAsia="仿宋"/>
          <w:sz w:val="32"/>
          <w:szCs w:val="32"/>
          <w:lang w:eastAsia="zh-CN"/>
        </w:rPr>
        <w:t>交易</w:t>
      </w:r>
      <w:r>
        <w:rPr>
          <w:rFonts w:hint="eastAsia" w:ascii="仿宋" w:hAnsi="仿宋" w:eastAsia="仿宋"/>
          <w:sz w:val="32"/>
          <w:szCs w:val="32"/>
        </w:rPr>
        <w:t>。</w:t>
      </w:r>
    </w:p>
    <w:p>
      <w:pPr>
        <w:snapToGrid w:val="0"/>
        <w:spacing w:line="360" w:lineRule="auto"/>
        <w:ind w:firstLine="643" w:firstLineChars="200"/>
        <w:rPr>
          <w:rFonts w:ascii="仿宋" w:hAnsi="仿宋" w:eastAsia="仿宋"/>
          <w:sz w:val="32"/>
          <w:szCs w:val="32"/>
          <w:lang w:val="zh-CN"/>
        </w:rPr>
      </w:pPr>
      <w:r>
        <w:rPr>
          <w:rFonts w:hint="eastAsia" w:ascii="仿宋" w:hAnsi="仿宋" w:eastAsia="仿宋"/>
          <w:b/>
          <w:sz w:val="32"/>
          <w:szCs w:val="32"/>
        </w:rPr>
        <w:t>第十八条</w:t>
      </w:r>
      <w:r>
        <w:rPr>
          <w:rFonts w:ascii="仿宋" w:hAnsi="仿宋" w:eastAsia="仿宋"/>
          <w:sz w:val="32"/>
          <w:szCs w:val="32"/>
        </w:rPr>
        <w:t xml:space="preserve">  </w:t>
      </w:r>
      <w:r>
        <w:rPr>
          <w:rFonts w:hint="eastAsia" w:ascii="仿宋" w:hAnsi="仿宋" w:eastAsia="仿宋"/>
          <w:sz w:val="32"/>
          <w:szCs w:val="32"/>
          <w:lang w:eastAsia="zh-CN"/>
        </w:rPr>
        <w:t>买方</w:t>
      </w:r>
      <w:r>
        <w:rPr>
          <w:rFonts w:hint="eastAsia" w:ascii="仿宋" w:hAnsi="仿宋" w:eastAsia="仿宋"/>
          <w:sz w:val="32"/>
          <w:szCs w:val="32"/>
        </w:rPr>
        <w:t>一经应价，不得撤回。</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第十九条</w:t>
      </w:r>
      <w:r>
        <w:rPr>
          <w:rFonts w:ascii="仿宋" w:hAnsi="仿宋" w:eastAsia="仿宋"/>
          <w:sz w:val="32"/>
          <w:szCs w:val="32"/>
        </w:rPr>
        <w:t xml:space="preserve">  </w:t>
      </w:r>
      <w:r>
        <w:rPr>
          <w:rFonts w:hint="eastAsia" w:ascii="仿宋" w:hAnsi="仿宋" w:eastAsia="仿宋"/>
          <w:sz w:val="32"/>
          <w:szCs w:val="32"/>
          <w:lang w:eastAsia="zh-CN"/>
        </w:rPr>
        <w:t>买方</w:t>
      </w:r>
      <w:r>
        <w:rPr>
          <w:rFonts w:hint="eastAsia" w:ascii="仿宋" w:hAnsi="仿宋" w:eastAsia="仿宋"/>
          <w:sz w:val="32"/>
          <w:szCs w:val="32"/>
        </w:rPr>
        <w:t>在新价位应价并被系统确认后，前一价位的应价自动失效。</w:t>
      </w:r>
      <w:r>
        <w:rPr>
          <w:rFonts w:hint="eastAsia" w:ascii="仿宋" w:hAnsi="仿宋" w:eastAsia="仿宋"/>
          <w:sz w:val="32"/>
          <w:szCs w:val="32"/>
          <w:lang w:eastAsia="zh-CN"/>
        </w:rPr>
        <w:t>买方</w:t>
      </w:r>
      <w:r>
        <w:rPr>
          <w:rFonts w:hint="eastAsia" w:ascii="仿宋" w:hAnsi="仿宋" w:eastAsia="仿宋"/>
          <w:sz w:val="32"/>
          <w:szCs w:val="32"/>
        </w:rPr>
        <w:t>报价后，在规定的时间内如无其它竞买人以更高的价格报价，则以该报价为标的成交价，该竞买人为标的买方。</w:t>
      </w:r>
    </w:p>
    <w:p>
      <w:pPr>
        <w:snapToGrid w:val="0"/>
        <w:spacing w:line="360" w:lineRule="auto"/>
        <w:ind w:firstLine="643" w:firstLineChars="200"/>
        <w:rPr>
          <w:rFonts w:ascii="仿宋" w:hAnsi="仿宋" w:eastAsia="仿宋" w:cs="宋体"/>
          <w:kern w:val="0"/>
          <w:sz w:val="32"/>
          <w:szCs w:val="32"/>
        </w:rPr>
      </w:pPr>
      <w:r>
        <w:rPr>
          <w:rFonts w:hint="eastAsia" w:ascii="仿宋" w:hAnsi="仿宋" w:eastAsia="仿宋"/>
          <w:b/>
          <w:sz w:val="32"/>
          <w:szCs w:val="32"/>
        </w:rPr>
        <w:t>第二十条</w:t>
      </w:r>
      <w:r>
        <w:rPr>
          <w:rFonts w:ascii="仿宋" w:hAnsi="仿宋" w:eastAsia="仿宋"/>
          <w:sz w:val="32"/>
          <w:szCs w:val="32"/>
        </w:rPr>
        <w:t xml:space="preserve">  </w:t>
      </w:r>
      <w:r>
        <w:rPr>
          <w:rFonts w:hint="eastAsia" w:ascii="仿宋" w:hAnsi="仿宋" w:eastAsia="仿宋" w:cs="宋体"/>
          <w:kern w:val="0"/>
          <w:sz w:val="32"/>
          <w:szCs w:val="32"/>
        </w:rPr>
        <w:t>合同自系统确定之时起生效。</w:t>
      </w:r>
      <w:r>
        <w:rPr>
          <w:rFonts w:hint="eastAsia" w:ascii="仿宋" w:hAnsi="仿宋" w:eastAsia="仿宋"/>
          <w:sz w:val="32"/>
          <w:szCs w:val="32"/>
        </w:rPr>
        <w:t>交易成交后，成交双方签订</w:t>
      </w:r>
      <w:r>
        <w:rPr>
          <w:rFonts w:hint="eastAsia" w:ascii="仿宋" w:hAnsi="仿宋" w:eastAsia="仿宋" w:cs="宋体"/>
          <w:kern w:val="0"/>
          <w:sz w:val="32"/>
          <w:szCs w:val="32"/>
        </w:rPr>
        <w:t>《</w:t>
      </w:r>
      <w:r>
        <w:rPr>
          <w:rFonts w:hint="eastAsia" w:ascii="仿宋" w:hAnsi="仿宋" w:eastAsia="仿宋"/>
          <w:sz w:val="32"/>
          <w:szCs w:val="32"/>
          <w:lang w:eastAsia="zh-CN"/>
        </w:rPr>
        <w:t>湖北省临时储备粮</w:t>
      </w:r>
      <w:r>
        <w:rPr>
          <w:rFonts w:hint="eastAsia" w:ascii="仿宋" w:hAnsi="仿宋" w:eastAsia="仿宋" w:cs="宋体"/>
          <w:spacing w:val="6"/>
          <w:kern w:val="0"/>
          <w:sz w:val="32"/>
          <w:szCs w:val="32"/>
          <w:lang w:val="zh-CN"/>
        </w:rPr>
        <w:t>交易合同</w:t>
      </w:r>
      <w:r>
        <w:rPr>
          <w:rFonts w:hint="eastAsia" w:ascii="仿宋" w:hAnsi="仿宋" w:eastAsia="仿宋" w:cs="宋体"/>
          <w:kern w:val="0"/>
          <w:sz w:val="32"/>
          <w:szCs w:val="32"/>
        </w:rPr>
        <w:t>》</w:t>
      </w:r>
      <w:r>
        <w:rPr>
          <w:rFonts w:hint="eastAsia" w:ascii="仿宋" w:hAnsi="仿宋" w:eastAsia="仿宋"/>
          <w:sz w:val="32"/>
          <w:szCs w:val="32"/>
        </w:rPr>
        <w:t>。交易中心将每期交易成交情况在5个工作日内通知买卖双方所在地</w:t>
      </w:r>
      <w:r>
        <w:rPr>
          <w:rFonts w:hint="eastAsia" w:ascii="仿宋" w:hAnsi="仿宋" w:eastAsia="仿宋"/>
          <w:sz w:val="32"/>
          <w:szCs w:val="32"/>
          <w:lang w:eastAsia="zh-CN"/>
        </w:rPr>
        <w:t>发改（</w:t>
      </w:r>
      <w:r>
        <w:rPr>
          <w:rFonts w:hint="eastAsia" w:ascii="仿宋" w:hAnsi="仿宋" w:eastAsia="仿宋"/>
          <w:sz w:val="32"/>
          <w:szCs w:val="32"/>
        </w:rPr>
        <w:t>粮食</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eastAsia="zh-CN"/>
        </w:rPr>
        <w:t>市场监管</w:t>
      </w:r>
      <w:r>
        <w:rPr>
          <w:rFonts w:hint="eastAsia" w:ascii="仿宋" w:hAnsi="仿宋" w:eastAsia="仿宋"/>
          <w:sz w:val="32"/>
          <w:szCs w:val="32"/>
        </w:rPr>
        <w:t>、</w:t>
      </w:r>
      <w:r>
        <w:rPr>
          <w:rFonts w:hint="eastAsia" w:ascii="仿宋" w:hAnsi="仿宋" w:eastAsia="仿宋"/>
          <w:sz w:val="32"/>
          <w:szCs w:val="32"/>
          <w:lang w:eastAsia="zh-CN"/>
        </w:rPr>
        <w:t>农业农村</w:t>
      </w:r>
      <w:r>
        <w:rPr>
          <w:rFonts w:hint="eastAsia" w:ascii="仿宋" w:hAnsi="仿宋" w:eastAsia="仿宋"/>
          <w:sz w:val="32"/>
          <w:szCs w:val="32"/>
        </w:rPr>
        <w:t>等监管部门，同时</w:t>
      </w:r>
      <w:r>
        <w:rPr>
          <w:rFonts w:hint="eastAsia" w:ascii="仿宋" w:hAnsi="仿宋" w:eastAsia="仿宋" w:cs="宋体"/>
          <w:kern w:val="0"/>
          <w:sz w:val="32"/>
          <w:szCs w:val="32"/>
        </w:rPr>
        <w:t>报送</w:t>
      </w:r>
      <w:r>
        <w:rPr>
          <w:rFonts w:hint="eastAsia" w:ascii="仿宋" w:hAnsi="仿宋" w:eastAsia="仿宋" w:cs="宋体"/>
          <w:kern w:val="0"/>
          <w:sz w:val="32"/>
          <w:szCs w:val="32"/>
          <w:lang w:eastAsia="zh-CN"/>
        </w:rPr>
        <w:t>发改（粮食）行政主管部门</w:t>
      </w:r>
      <w:r>
        <w:rPr>
          <w:rFonts w:hint="eastAsia" w:ascii="仿宋" w:hAnsi="仿宋" w:eastAsia="仿宋" w:cs="宋体"/>
          <w:spacing w:val="6"/>
          <w:kern w:val="0"/>
          <w:sz w:val="32"/>
          <w:szCs w:val="32"/>
          <w:lang w:val="zh-CN"/>
        </w:rPr>
        <w:t>备案</w:t>
      </w:r>
      <w:r>
        <w:rPr>
          <w:rFonts w:hint="eastAsia" w:ascii="仿宋" w:hAnsi="仿宋" w:eastAsia="仿宋" w:cs="宋体"/>
          <w:kern w:val="0"/>
          <w:sz w:val="32"/>
          <w:szCs w:val="32"/>
        </w:rPr>
        <w:t>。</w:t>
      </w:r>
    </w:p>
    <w:p>
      <w:pPr>
        <w:snapToGrid w:val="0"/>
        <w:spacing w:line="360" w:lineRule="auto"/>
        <w:ind w:firstLine="640" w:firstLineChars="200"/>
        <w:rPr>
          <w:rFonts w:hint="eastAsia" w:ascii="仿宋" w:hAnsi="仿宋" w:eastAsia="仿宋" w:cs="宋体"/>
          <w:kern w:val="0"/>
          <w:sz w:val="32"/>
          <w:szCs w:val="32"/>
        </w:rPr>
      </w:pP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第六章</w:t>
      </w:r>
      <w:r>
        <w:rPr>
          <w:rFonts w:ascii="黑体" w:hAnsi="黑体" w:eastAsia="黑体"/>
          <w:bCs/>
          <w:sz w:val="32"/>
          <w:szCs w:val="32"/>
        </w:rPr>
        <w:t xml:space="preserve">  </w:t>
      </w:r>
      <w:r>
        <w:rPr>
          <w:rFonts w:hint="eastAsia" w:ascii="黑体" w:hAnsi="黑体" w:eastAsia="黑体"/>
          <w:bCs/>
          <w:sz w:val="32"/>
          <w:szCs w:val="32"/>
        </w:rPr>
        <w:t>交割和结算</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第二十一条</w:t>
      </w:r>
      <w:r>
        <w:rPr>
          <w:rFonts w:ascii="仿宋" w:hAnsi="仿宋" w:eastAsia="仿宋"/>
          <w:sz w:val="32"/>
          <w:szCs w:val="32"/>
        </w:rPr>
        <w:t xml:space="preserve">  </w:t>
      </w:r>
      <w:r>
        <w:rPr>
          <w:rFonts w:hint="eastAsia" w:ascii="仿宋" w:hAnsi="仿宋" w:eastAsia="仿宋"/>
          <w:sz w:val="32"/>
          <w:szCs w:val="32"/>
          <w:lang w:val="zh-CN"/>
        </w:rPr>
        <w:t>买卖双方应严格履行合同规定的责任义务，并享受合同规定的权利。</w:t>
      </w:r>
    </w:p>
    <w:p>
      <w:pPr>
        <w:snapToGrid w:val="0"/>
        <w:spacing w:line="360" w:lineRule="auto"/>
        <w:ind w:firstLine="675" w:firstLineChars="210"/>
        <w:rPr>
          <w:rFonts w:ascii="仿宋" w:hAnsi="仿宋" w:eastAsia="仿宋" w:cs="宋体"/>
          <w:kern w:val="0"/>
          <w:sz w:val="32"/>
          <w:szCs w:val="32"/>
        </w:rPr>
      </w:pPr>
      <w:r>
        <w:rPr>
          <w:rFonts w:hint="eastAsia" w:ascii="仿宋" w:hAnsi="仿宋" w:eastAsia="仿宋"/>
          <w:b/>
          <w:sz w:val="32"/>
          <w:szCs w:val="32"/>
        </w:rPr>
        <w:t>第二十二条</w:t>
      </w:r>
      <w:r>
        <w:rPr>
          <w:rFonts w:ascii="仿宋" w:hAnsi="仿宋" w:eastAsia="仿宋"/>
          <w:sz w:val="32"/>
          <w:szCs w:val="32"/>
        </w:rPr>
        <w:t xml:space="preserve">  </w:t>
      </w:r>
      <w:r>
        <w:rPr>
          <w:rFonts w:hint="eastAsia" w:ascii="仿宋" w:hAnsi="仿宋" w:eastAsia="仿宋" w:cs="宋体"/>
          <w:kern w:val="0"/>
          <w:sz w:val="32"/>
          <w:szCs w:val="32"/>
        </w:rPr>
        <w:t>每笔合同的履约时间为自合同生效之日起，出库期为3</w:t>
      </w:r>
      <w:r>
        <w:rPr>
          <w:rFonts w:ascii="仿宋" w:hAnsi="仿宋" w:eastAsia="仿宋" w:cs="宋体"/>
          <w:kern w:val="0"/>
          <w:sz w:val="32"/>
          <w:szCs w:val="32"/>
        </w:rPr>
        <w:t>0</w:t>
      </w:r>
      <w:r>
        <w:rPr>
          <w:rFonts w:hint="eastAsia" w:ascii="仿宋" w:hAnsi="仿宋" w:eastAsia="仿宋" w:cs="宋体"/>
          <w:kern w:val="0"/>
          <w:sz w:val="32"/>
          <w:szCs w:val="32"/>
        </w:rPr>
        <w:t>天（日历天，下同）。同一买受人在同一库点、同一批次购买</w:t>
      </w:r>
      <w:r>
        <w:fldChar w:fldCharType="begin"/>
      </w:r>
      <w:r>
        <w:instrText xml:space="preserve"> HYPERLINK "http://www.cngrain.com/Info/TagList/粮食" \t "_blank" </w:instrText>
      </w:r>
      <w:r>
        <w:fldChar w:fldCharType="separate"/>
      </w:r>
      <w:r>
        <w:rPr>
          <w:rFonts w:hint="eastAsia" w:ascii="仿宋" w:hAnsi="仿宋" w:eastAsia="仿宋" w:cs="宋体"/>
          <w:kern w:val="0"/>
          <w:sz w:val="32"/>
          <w:szCs w:val="32"/>
        </w:rPr>
        <w:t>粮食</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数量在</w:t>
      </w:r>
      <w:r>
        <w:rPr>
          <w:rFonts w:ascii="仿宋" w:hAnsi="仿宋" w:eastAsia="仿宋" w:cs="宋体"/>
          <w:kern w:val="0"/>
          <w:sz w:val="32"/>
          <w:szCs w:val="32"/>
        </w:rPr>
        <w:t>2000</w:t>
      </w:r>
      <w:r>
        <w:rPr>
          <w:rFonts w:hint="eastAsia" w:ascii="仿宋" w:hAnsi="仿宋" w:eastAsia="仿宋" w:cs="宋体"/>
          <w:kern w:val="0"/>
          <w:sz w:val="32"/>
          <w:szCs w:val="32"/>
        </w:rPr>
        <w:t>吨（含）以上的，或每年除夕（正月初一前一天）前</w:t>
      </w:r>
      <w:r>
        <w:rPr>
          <w:rFonts w:ascii="仿宋" w:hAnsi="仿宋" w:eastAsia="仿宋" w:cs="宋体"/>
          <w:kern w:val="0"/>
          <w:sz w:val="32"/>
          <w:szCs w:val="32"/>
        </w:rPr>
        <w:t>45</w:t>
      </w:r>
      <w:r>
        <w:rPr>
          <w:rFonts w:hint="eastAsia" w:ascii="仿宋" w:hAnsi="仿宋" w:eastAsia="仿宋" w:cs="宋体"/>
          <w:kern w:val="0"/>
          <w:sz w:val="32"/>
          <w:szCs w:val="32"/>
        </w:rPr>
        <w:t>天内成交的</w:t>
      </w:r>
      <w:r>
        <w:fldChar w:fldCharType="begin"/>
      </w:r>
      <w:r>
        <w:instrText xml:space="preserve"> HYPERLINK "http://www.cngrain.com/Info/TagList/粮食" \t "_blank" </w:instrText>
      </w:r>
      <w:r>
        <w:fldChar w:fldCharType="separate"/>
      </w:r>
      <w:r>
        <w:rPr>
          <w:rFonts w:hint="eastAsia" w:ascii="仿宋" w:hAnsi="仿宋" w:eastAsia="仿宋" w:cs="宋体"/>
          <w:kern w:val="0"/>
          <w:sz w:val="32"/>
          <w:szCs w:val="32"/>
        </w:rPr>
        <w:t>粮食</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，出库期可延长</w:t>
      </w:r>
      <w:r>
        <w:rPr>
          <w:rFonts w:ascii="仿宋" w:hAnsi="仿宋" w:eastAsia="仿宋" w:cs="宋体"/>
          <w:kern w:val="0"/>
          <w:sz w:val="32"/>
          <w:szCs w:val="32"/>
        </w:rPr>
        <w:t>1</w:t>
      </w:r>
      <w:r>
        <w:rPr>
          <w:rFonts w:hint="eastAsia" w:ascii="仿宋" w:hAnsi="仿宋" w:eastAsia="仿宋" w:cs="宋体"/>
          <w:kern w:val="0"/>
          <w:sz w:val="32"/>
          <w:szCs w:val="32"/>
        </w:rPr>
        <w:t>0天。</w:t>
      </w:r>
    </w:p>
    <w:p>
      <w:pPr>
        <w:widowControl/>
        <w:snapToGrid w:val="0"/>
        <w:spacing w:line="360" w:lineRule="auto"/>
        <w:ind w:firstLine="600"/>
        <w:jc w:val="left"/>
        <w:rPr>
          <w:rFonts w:ascii="仿宋" w:hAnsi="仿宋" w:eastAsia="仿宋" w:cs="宋体"/>
          <w:kern w:val="0"/>
          <w:sz w:val="32"/>
          <w:szCs w:val="32"/>
        </w:rPr>
      </w:pPr>
      <w:r>
        <w:rPr>
          <w:rFonts w:hint="eastAsia" w:ascii="仿宋" w:hAnsi="仿宋" w:eastAsia="仿宋"/>
          <w:b/>
          <w:sz w:val="32"/>
          <w:szCs w:val="32"/>
        </w:rPr>
        <w:t>第二十三条</w:t>
      </w:r>
      <w:r>
        <w:rPr>
          <w:rFonts w:ascii="仿宋" w:hAnsi="仿宋" w:eastAsia="仿宋"/>
          <w:sz w:val="32"/>
          <w:szCs w:val="32"/>
        </w:rPr>
        <w:t xml:space="preserve">  </w:t>
      </w:r>
      <w:r>
        <w:rPr>
          <w:rFonts w:hint="eastAsia" w:ascii="仿宋" w:hAnsi="仿宋" w:eastAsia="仿宋" w:cs="宋体"/>
          <w:kern w:val="0"/>
          <w:sz w:val="32"/>
          <w:szCs w:val="32"/>
        </w:rPr>
        <w:t>买受人必须于合同生效之日起15天内将全额货款一次或分批汇入本细则第五条规定的</w:t>
      </w:r>
      <w:r>
        <w:rPr>
          <w:rFonts w:hint="eastAsia" w:ascii="仿宋" w:hAnsi="仿宋" w:eastAsia="仿宋" w:cs="宋体"/>
          <w:kern w:val="0"/>
          <w:sz w:val="32"/>
          <w:szCs w:val="32"/>
          <w:lang w:eastAsia="zh-CN"/>
        </w:rPr>
        <w:t>资金</w:t>
      </w:r>
      <w:r>
        <w:rPr>
          <w:rFonts w:hint="eastAsia" w:ascii="仿宋" w:hAnsi="仿宋" w:eastAsia="仿宋" w:cs="宋体"/>
          <w:kern w:val="0"/>
          <w:sz w:val="32"/>
          <w:szCs w:val="32"/>
        </w:rPr>
        <w:t>账户。</w:t>
      </w:r>
      <w:r>
        <w:rPr>
          <w:rFonts w:hint="eastAsia" w:ascii="仿宋" w:hAnsi="仿宋" w:eastAsia="仿宋"/>
          <w:spacing w:val="6"/>
          <w:sz w:val="32"/>
          <w:szCs w:val="32"/>
          <w:lang w:val="zh-CN"/>
        </w:rPr>
        <w:t>同一买受人在同一库点、同一批次购买粮食数量在</w:t>
      </w:r>
      <w:r>
        <w:rPr>
          <w:rFonts w:ascii="仿宋" w:hAnsi="仿宋" w:eastAsia="仿宋"/>
          <w:spacing w:val="6"/>
          <w:sz w:val="32"/>
          <w:szCs w:val="32"/>
          <w:lang w:val="zh-CN"/>
        </w:rPr>
        <w:t>2000</w:t>
      </w:r>
      <w:r>
        <w:rPr>
          <w:rFonts w:hint="eastAsia" w:ascii="仿宋" w:hAnsi="仿宋" w:eastAsia="仿宋"/>
          <w:spacing w:val="6"/>
          <w:sz w:val="32"/>
          <w:szCs w:val="32"/>
          <w:lang w:val="zh-CN"/>
        </w:rPr>
        <w:t>吨以上的，或</w:t>
      </w:r>
      <w:r>
        <w:rPr>
          <w:rFonts w:hint="eastAsia" w:ascii="仿宋" w:hAnsi="仿宋" w:eastAsia="仿宋"/>
          <w:sz w:val="32"/>
          <w:szCs w:val="32"/>
          <w:lang w:val="zh-CN"/>
        </w:rPr>
        <w:t>在每年除夕（正月初一前一天）前</w:t>
      </w:r>
      <w:r>
        <w:rPr>
          <w:rFonts w:ascii="仿宋" w:hAnsi="仿宋" w:eastAsia="仿宋"/>
          <w:sz w:val="32"/>
          <w:szCs w:val="32"/>
          <w:lang w:val="zh-CN"/>
        </w:rPr>
        <w:t>45</w:t>
      </w:r>
      <w:r>
        <w:rPr>
          <w:rFonts w:hint="eastAsia" w:ascii="仿宋" w:hAnsi="仿宋" w:eastAsia="仿宋"/>
          <w:sz w:val="32"/>
          <w:szCs w:val="32"/>
          <w:lang w:val="zh-CN"/>
        </w:rPr>
        <w:t>天内成交的粮食，付款时间可相应延长</w:t>
      </w:r>
      <w:r>
        <w:rPr>
          <w:rFonts w:ascii="仿宋" w:hAnsi="仿宋" w:eastAsia="仿宋"/>
          <w:sz w:val="32"/>
          <w:szCs w:val="32"/>
          <w:lang w:val="zh-CN"/>
        </w:rPr>
        <w:t>10</w:t>
      </w:r>
      <w:r>
        <w:rPr>
          <w:rFonts w:hint="eastAsia" w:ascii="仿宋" w:hAnsi="仿宋" w:eastAsia="仿宋"/>
          <w:sz w:val="32"/>
          <w:szCs w:val="32"/>
          <w:lang w:val="zh-CN"/>
        </w:rPr>
        <w:t>天。</w:t>
      </w:r>
      <w:r>
        <w:rPr>
          <w:rFonts w:hint="eastAsia" w:ascii="仿宋" w:hAnsi="仿宋" w:eastAsia="仿宋" w:cs="宋体"/>
          <w:kern w:val="0"/>
          <w:sz w:val="32"/>
          <w:szCs w:val="32"/>
        </w:rPr>
        <w:t>交易中心收到货款后，按货款折算的粮食数量</w:t>
      </w:r>
      <w:r>
        <w:rPr>
          <w:rFonts w:ascii="仿宋" w:hAnsi="仿宋" w:eastAsia="仿宋" w:cs="宋体"/>
          <w:kern w:val="0"/>
          <w:sz w:val="32"/>
          <w:szCs w:val="32"/>
        </w:rPr>
        <w:t>,</w:t>
      </w:r>
      <w:r>
        <w:rPr>
          <w:rFonts w:hint="eastAsia" w:ascii="仿宋" w:hAnsi="仿宋" w:eastAsia="仿宋" w:cs="宋体"/>
          <w:kern w:val="0"/>
          <w:sz w:val="32"/>
          <w:szCs w:val="32"/>
        </w:rPr>
        <w:t>及时</w:t>
      </w:r>
      <w:r>
        <w:rPr>
          <w:rFonts w:hint="eastAsia" w:ascii="仿宋" w:hAnsi="仿宋" w:eastAsia="仿宋" w:cs="宋体"/>
          <w:spacing w:val="6"/>
          <w:kern w:val="0"/>
          <w:sz w:val="32"/>
          <w:szCs w:val="32"/>
          <w:lang w:val="zh-CN"/>
        </w:rPr>
        <w:t>开具《出库通知单》。</w:t>
      </w:r>
      <w:r>
        <w:rPr>
          <w:rFonts w:hint="eastAsia" w:ascii="仿宋" w:hAnsi="仿宋" w:eastAsia="仿宋" w:cs="宋体"/>
          <w:kern w:val="0"/>
          <w:sz w:val="32"/>
          <w:szCs w:val="32"/>
        </w:rPr>
        <w:t>买受人持</w:t>
      </w:r>
      <w:r>
        <w:rPr>
          <w:rFonts w:hint="eastAsia" w:ascii="仿宋" w:hAnsi="仿宋" w:eastAsia="仿宋" w:cs="宋体"/>
          <w:spacing w:val="6"/>
          <w:kern w:val="0"/>
          <w:sz w:val="32"/>
          <w:szCs w:val="32"/>
          <w:lang w:val="zh-CN"/>
        </w:rPr>
        <w:t>《出库通知单》原件到</w:t>
      </w:r>
      <w:r>
        <w:rPr>
          <w:rFonts w:hint="eastAsia" w:ascii="仿宋" w:hAnsi="仿宋" w:eastAsia="仿宋" w:cs="宋体"/>
          <w:kern w:val="0"/>
          <w:sz w:val="32"/>
          <w:szCs w:val="32"/>
        </w:rPr>
        <w:t>企业所在地</w:t>
      </w:r>
      <w:r>
        <w:rPr>
          <w:rFonts w:hint="eastAsia" w:ascii="仿宋" w:hAnsi="仿宋" w:eastAsia="仿宋" w:cs="宋体"/>
          <w:kern w:val="0"/>
          <w:sz w:val="32"/>
          <w:szCs w:val="32"/>
          <w:lang w:eastAsia="zh-CN"/>
        </w:rPr>
        <w:t>发改（</w:t>
      </w:r>
      <w:r>
        <w:rPr>
          <w:rFonts w:hint="eastAsia" w:ascii="仿宋" w:hAnsi="仿宋" w:eastAsia="仿宋" w:cs="宋体"/>
          <w:spacing w:val="6"/>
          <w:kern w:val="0"/>
          <w:sz w:val="32"/>
          <w:szCs w:val="32"/>
          <w:lang w:val="zh-CN"/>
        </w:rPr>
        <w:t>粮食</w:t>
      </w:r>
      <w:r>
        <w:rPr>
          <w:rFonts w:hint="eastAsia" w:ascii="仿宋" w:hAnsi="仿宋" w:eastAsia="仿宋" w:cs="宋体"/>
          <w:kern w:val="0"/>
          <w:sz w:val="32"/>
          <w:szCs w:val="32"/>
          <w:lang w:eastAsia="zh-CN"/>
        </w:rPr>
        <w:t>）</w:t>
      </w:r>
      <w:r>
        <w:rPr>
          <w:rFonts w:hint="eastAsia" w:ascii="仿宋" w:hAnsi="仿宋" w:eastAsia="仿宋" w:cs="宋体"/>
          <w:spacing w:val="6"/>
          <w:kern w:val="0"/>
          <w:sz w:val="32"/>
          <w:szCs w:val="32"/>
          <w:lang w:val="zh-CN"/>
        </w:rPr>
        <w:t>行政管理部门和所购买粮源所在地发改（粮食）行政管理部门盖章备案后，通知承储企业安排出货。</w:t>
      </w:r>
    </w:p>
    <w:p>
      <w:pPr>
        <w:widowControl/>
        <w:snapToGrid w:val="0"/>
        <w:spacing w:line="360" w:lineRule="auto"/>
        <w:ind w:firstLine="600"/>
        <w:jc w:val="left"/>
        <w:rPr>
          <w:rFonts w:ascii="仿宋" w:hAnsi="仿宋" w:eastAsia="仿宋" w:cs="宋体"/>
          <w:kern w:val="0"/>
          <w:sz w:val="32"/>
          <w:szCs w:val="32"/>
        </w:rPr>
      </w:pPr>
      <w:r>
        <w:rPr>
          <w:rFonts w:hint="eastAsia" w:ascii="仿宋" w:hAnsi="仿宋" w:eastAsia="仿宋"/>
          <w:b/>
          <w:sz w:val="32"/>
          <w:szCs w:val="32"/>
        </w:rPr>
        <w:t>第二十四条</w:t>
      </w:r>
      <w:r>
        <w:rPr>
          <w:rFonts w:ascii="仿宋" w:hAnsi="仿宋" w:eastAsia="仿宋"/>
          <w:sz w:val="32"/>
          <w:szCs w:val="32"/>
        </w:rPr>
        <w:t xml:space="preserve">  </w:t>
      </w:r>
      <w:r>
        <w:rPr>
          <w:rFonts w:hint="eastAsia" w:ascii="仿宋" w:hAnsi="仿宋" w:eastAsia="仿宋" w:cs="宋体"/>
          <w:kern w:val="0"/>
          <w:sz w:val="32"/>
          <w:szCs w:val="32"/>
        </w:rPr>
        <w:t>交易成交价格为卖方承储企业仓堆交货价，不含包装。如需要在库内汽车（船）板交货的，汽车（船）板前费用不超过</w:t>
      </w:r>
      <w:r>
        <w:rPr>
          <w:rFonts w:ascii="仿宋" w:hAnsi="仿宋" w:eastAsia="仿宋" w:cs="宋体"/>
          <w:kern w:val="0"/>
          <w:sz w:val="32"/>
          <w:szCs w:val="32"/>
        </w:rPr>
        <w:t>30</w:t>
      </w:r>
      <w:r>
        <w:rPr>
          <w:rFonts w:hint="eastAsia" w:ascii="仿宋" w:hAnsi="仿宋" w:eastAsia="仿宋" w:cs="宋体"/>
          <w:kern w:val="0"/>
          <w:sz w:val="32"/>
          <w:szCs w:val="32"/>
        </w:rPr>
        <w:t>元</w:t>
      </w:r>
      <w:r>
        <w:rPr>
          <w:rFonts w:ascii="仿宋" w:hAnsi="仿宋" w:eastAsia="仿宋" w:cs="宋体"/>
          <w:kern w:val="0"/>
          <w:sz w:val="32"/>
          <w:szCs w:val="32"/>
        </w:rPr>
        <w:t>/</w:t>
      </w:r>
      <w:r>
        <w:rPr>
          <w:rFonts w:hint="eastAsia" w:ascii="仿宋" w:hAnsi="仿宋" w:eastAsia="仿宋" w:cs="宋体"/>
          <w:kern w:val="0"/>
          <w:sz w:val="32"/>
          <w:szCs w:val="32"/>
        </w:rPr>
        <w:t>吨，由买方负担。汽车（船）板前费用是指粮食出库到装车（船）所发生的正常合理费用，具体包括：散装出库时，包括装车、过磅（包括确需库外过磅的）等费用；包装出库时，还包括灌包、标包、封口、口绳、装车等费用。承储企业收取汽车（船）板前费用后，应开具发票。承储企业不得收取出库费以外的任何费用。</w:t>
      </w:r>
    </w:p>
    <w:p>
      <w:pPr>
        <w:widowControl/>
        <w:snapToGrid w:val="0"/>
        <w:spacing w:line="360" w:lineRule="auto"/>
        <w:ind w:firstLine="600"/>
        <w:jc w:val="left"/>
        <w:rPr>
          <w:rFonts w:ascii="仿宋" w:hAnsi="仿宋" w:eastAsia="仿宋" w:cs="宋体"/>
          <w:kern w:val="0"/>
          <w:sz w:val="32"/>
          <w:szCs w:val="32"/>
        </w:rPr>
      </w:pPr>
      <w:r>
        <w:rPr>
          <w:rFonts w:hint="eastAsia" w:ascii="仿宋" w:hAnsi="仿宋" w:eastAsia="仿宋"/>
          <w:b/>
          <w:sz w:val="32"/>
          <w:szCs w:val="32"/>
        </w:rPr>
        <w:t>第二十五条</w:t>
      </w:r>
      <w:r>
        <w:rPr>
          <w:rFonts w:ascii="仿宋" w:hAnsi="仿宋" w:eastAsia="仿宋" w:cs="宋体"/>
          <w:kern w:val="0"/>
          <w:sz w:val="32"/>
          <w:szCs w:val="32"/>
        </w:rPr>
        <w:t xml:space="preserve">  </w:t>
      </w:r>
      <w:r>
        <w:rPr>
          <w:rFonts w:hint="eastAsia" w:ascii="仿宋" w:hAnsi="仿宋" w:eastAsia="仿宋"/>
          <w:sz w:val="32"/>
          <w:szCs w:val="32"/>
        </w:rPr>
        <w:t>买方需要包装物时，包装物由买方自理或者委托承储企业代办，其价格由买卖双方协商议定，</w:t>
      </w:r>
      <w:r>
        <w:rPr>
          <w:rFonts w:hint="eastAsia" w:ascii="仿宋" w:hAnsi="仿宋" w:eastAsia="仿宋" w:cs="宋体"/>
          <w:kern w:val="0"/>
          <w:sz w:val="32"/>
          <w:szCs w:val="32"/>
        </w:rPr>
        <w:t>承储企业不能强制以包装粮食出库，是否带包装出库由买方确定，如需散装出库，倒袋费用由承储企业负担，包含在汽车（船）板前费用之内。</w:t>
      </w:r>
    </w:p>
    <w:p>
      <w:pPr>
        <w:widowControl/>
        <w:adjustRightInd w:val="0"/>
        <w:snapToGrid w:val="0"/>
        <w:spacing w:line="360" w:lineRule="auto"/>
        <w:ind w:firstLine="643" w:firstLineChars="200"/>
        <w:jc w:val="left"/>
        <w:rPr>
          <w:rFonts w:ascii="仿宋" w:hAnsi="仿宋" w:eastAsia="仿宋"/>
          <w:sz w:val="32"/>
          <w:szCs w:val="32"/>
        </w:rPr>
      </w:pPr>
      <w:r>
        <w:rPr>
          <w:rFonts w:hint="eastAsia" w:ascii="仿宋" w:hAnsi="仿宋" w:eastAsia="仿宋"/>
          <w:b/>
          <w:sz w:val="32"/>
          <w:szCs w:val="32"/>
        </w:rPr>
        <w:t>第二十六条</w:t>
      </w:r>
      <w:r>
        <w:rPr>
          <w:rFonts w:ascii="仿宋" w:hAnsi="仿宋" w:eastAsia="仿宋"/>
          <w:sz w:val="32"/>
          <w:szCs w:val="32"/>
        </w:rPr>
        <w:t xml:space="preserve">  </w:t>
      </w:r>
      <w:r>
        <w:rPr>
          <w:rFonts w:hint="eastAsia" w:ascii="仿宋" w:hAnsi="仿宋" w:eastAsia="仿宋" w:cs="宋体"/>
          <w:kern w:val="0"/>
          <w:sz w:val="32"/>
          <w:szCs w:val="32"/>
        </w:rPr>
        <w:t>自成交之日起，买方可到承储企业查验货物，承储企业未经批准不得擅自变动。承储企业应安排足够人员、设备，积极组织，按不低于日出库能力正常出库。买方应在前1个工作日书面或电话通知承储企业，安排均衡出库。如有特殊情况，双方要及时沟通，承储企业要积极配合，保证出库时间。</w:t>
      </w:r>
    </w:p>
    <w:p>
      <w:pPr>
        <w:widowControl/>
        <w:adjustRightInd w:val="0"/>
        <w:snapToGrid w:val="0"/>
        <w:spacing w:line="360" w:lineRule="auto"/>
        <w:ind w:firstLine="643" w:firstLineChars="200"/>
        <w:jc w:val="left"/>
        <w:rPr>
          <w:rFonts w:ascii="仿宋" w:hAnsi="仿宋" w:eastAsia="仿宋"/>
          <w:sz w:val="32"/>
          <w:szCs w:val="32"/>
        </w:rPr>
      </w:pPr>
      <w:r>
        <w:rPr>
          <w:rFonts w:hint="eastAsia" w:ascii="仿宋" w:hAnsi="仿宋" w:eastAsia="仿宋"/>
          <w:b/>
          <w:sz w:val="32"/>
          <w:szCs w:val="32"/>
        </w:rPr>
        <w:t>第二十七条</w:t>
      </w:r>
      <w:r>
        <w:rPr>
          <w:rFonts w:ascii="仿宋" w:hAnsi="仿宋" w:eastAsia="仿宋"/>
          <w:sz w:val="32"/>
          <w:szCs w:val="32"/>
        </w:rPr>
        <w:t xml:space="preserve">  </w:t>
      </w:r>
      <w:r>
        <w:rPr>
          <w:rFonts w:hint="eastAsia" w:ascii="仿宋" w:hAnsi="仿宋" w:eastAsia="仿宋" w:cs="宋体"/>
          <w:kern w:val="0"/>
          <w:sz w:val="32"/>
          <w:szCs w:val="32"/>
        </w:rPr>
        <w:t>买方提货时要派人到承储企业现场验收并监装。临时储备粮质量以</w:t>
      </w:r>
      <w:r>
        <w:rPr>
          <w:rFonts w:hint="eastAsia" w:ascii="仿宋" w:hAnsi="仿宋" w:eastAsia="仿宋" w:cs="宋体"/>
          <w:kern w:val="0"/>
          <w:sz w:val="32"/>
          <w:szCs w:val="32"/>
          <w:lang w:eastAsia="zh-CN"/>
        </w:rPr>
        <w:t>具有资质的</w:t>
      </w:r>
      <w:r>
        <w:rPr>
          <w:rFonts w:hint="eastAsia" w:ascii="仿宋" w:hAnsi="仿宋" w:eastAsia="仿宋" w:cs="宋体"/>
          <w:kern w:val="0"/>
          <w:sz w:val="32"/>
          <w:szCs w:val="32"/>
        </w:rPr>
        <w:t>湖北省粮油食品质量监督检测</w:t>
      </w:r>
      <w:r>
        <w:rPr>
          <w:rFonts w:hint="eastAsia" w:ascii="仿宋" w:hAnsi="仿宋" w:eastAsia="仿宋" w:cs="宋体"/>
          <w:kern w:val="0"/>
          <w:sz w:val="32"/>
          <w:szCs w:val="32"/>
          <w:lang w:eastAsia="zh-CN"/>
        </w:rPr>
        <w:t>机构</w:t>
      </w:r>
      <w:r>
        <w:rPr>
          <w:rFonts w:hint="eastAsia" w:ascii="仿宋" w:hAnsi="仿宋" w:eastAsia="仿宋" w:cs="宋体"/>
          <w:kern w:val="0"/>
          <w:sz w:val="32"/>
          <w:szCs w:val="32"/>
        </w:rPr>
        <w:t>检验认定的结果为准。数量以合同为依据，以承储企业计量衡器为基准。承储企业计量衡器必须是经具有国家认可资质的技术监督部门鉴定合格的，且在鉴定的有效期内。承储企业应当允许买方对计量衡器的准确性进行确认。</w:t>
      </w:r>
      <w:r>
        <w:rPr>
          <w:rFonts w:hint="eastAsia" w:ascii="仿宋" w:hAnsi="仿宋" w:eastAsia="仿宋" w:cs="宋体"/>
          <w:kern w:val="0"/>
          <w:sz w:val="32"/>
          <w:szCs w:val="32"/>
          <w:lang w:eastAsia="zh-CN"/>
        </w:rPr>
        <w:t>出库完毕，</w:t>
      </w:r>
      <w:r>
        <w:rPr>
          <w:rFonts w:hint="eastAsia" w:ascii="仿宋" w:hAnsi="仿宋" w:eastAsia="仿宋" w:cs="宋体"/>
          <w:spacing w:val="6"/>
          <w:kern w:val="0"/>
          <w:sz w:val="32"/>
          <w:szCs w:val="32"/>
          <w:lang w:val="zh-CN"/>
        </w:rPr>
        <w:t>买卖双方根据实际出库数量签署《验收确认单》并及时送达交易中心；卖方根据国家有关政策规定开具销售发票；买方如对数量、质量有异议，应停止接货并与承储库协商解决，协商不成的，</w:t>
      </w:r>
      <w:r>
        <w:rPr>
          <w:rFonts w:ascii="仿宋" w:hAnsi="仿宋" w:eastAsia="仿宋" w:cs="宋体"/>
          <w:spacing w:val="6"/>
          <w:kern w:val="0"/>
          <w:sz w:val="32"/>
          <w:szCs w:val="32"/>
          <w:lang w:val="zh-CN"/>
        </w:rPr>
        <w:t>3</w:t>
      </w:r>
      <w:r>
        <w:rPr>
          <w:rFonts w:hint="eastAsia" w:ascii="仿宋" w:hAnsi="仿宋" w:eastAsia="仿宋" w:cs="宋体"/>
          <w:spacing w:val="6"/>
          <w:kern w:val="0"/>
          <w:sz w:val="32"/>
          <w:szCs w:val="32"/>
          <w:lang w:val="zh-CN"/>
        </w:rPr>
        <w:t>日内书面申请交易中心调解，由交易中心委托有国家认可资质的检验检测机构校验计量器具、</w:t>
      </w:r>
      <w:r>
        <w:rPr>
          <w:rFonts w:hint="eastAsia" w:ascii="仿宋" w:hAnsi="仿宋" w:eastAsia="仿宋" w:cs="宋体"/>
          <w:kern w:val="0"/>
          <w:sz w:val="32"/>
          <w:szCs w:val="32"/>
        </w:rPr>
        <w:t>扦样检验，</w:t>
      </w:r>
      <w:r>
        <w:rPr>
          <w:rFonts w:hint="eastAsia" w:ascii="仿宋" w:hAnsi="仿宋" w:eastAsia="仿宋" w:cs="宋体"/>
          <w:spacing w:val="6"/>
          <w:kern w:val="0"/>
          <w:sz w:val="32"/>
          <w:szCs w:val="32"/>
          <w:lang w:val="zh-CN"/>
        </w:rPr>
        <w:t>所发生的费用由过错方承担。</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第二十八条</w:t>
      </w:r>
      <w:r>
        <w:rPr>
          <w:rFonts w:ascii="仿宋" w:hAnsi="仿宋" w:eastAsia="仿宋"/>
          <w:sz w:val="32"/>
          <w:szCs w:val="32"/>
        </w:rPr>
        <w:t xml:space="preserve">  </w:t>
      </w:r>
      <w:r>
        <w:rPr>
          <w:rFonts w:hint="eastAsia" w:ascii="仿宋" w:hAnsi="仿宋" w:eastAsia="仿宋"/>
          <w:sz w:val="32"/>
          <w:szCs w:val="32"/>
        </w:rPr>
        <w:t>买卖双方出现商务纠纷，由双方协商解决，协商不一致的，双方可向交易</w:t>
      </w:r>
      <w:r>
        <w:rPr>
          <w:rFonts w:hint="eastAsia" w:ascii="仿宋" w:hAnsi="仿宋" w:eastAsia="仿宋"/>
          <w:sz w:val="32"/>
          <w:szCs w:val="32"/>
          <w:lang w:eastAsia="zh-CN"/>
        </w:rPr>
        <w:t>中心</w:t>
      </w:r>
      <w:r>
        <w:rPr>
          <w:rFonts w:hint="eastAsia" w:ascii="仿宋" w:hAnsi="仿宋" w:eastAsia="仿宋"/>
          <w:sz w:val="32"/>
          <w:szCs w:val="32"/>
        </w:rPr>
        <w:t>所在地有管辖权限的人民法院起诉。</w:t>
      </w:r>
    </w:p>
    <w:p>
      <w:pPr>
        <w:snapToGrid w:val="0"/>
        <w:spacing w:line="360" w:lineRule="auto"/>
        <w:ind w:firstLine="643" w:firstLineChars="200"/>
        <w:rPr>
          <w:rFonts w:ascii="仿宋" w:hAnsi="仿宋" w:eastAsia="仿宋"/>
          <w:spacing w:val="6"/>
          <w:sz w:val="32"/>
          <w:szCs w:val="32"/>
          <w:lang w:val="zh-CN"/>
        </w:rPr>
      </w:pPr>
      <w:r>
        <w:rPr>
          <w:rFonts w:hint="eastAsia" w:ascii="仿宋" w:hAnsi="仿宋" w:eastAsia="仿宋"/>
          <w:b/>
          <w:sz w:val="32"/>
          <w:szCs w:val="32"/>
        </w:rPr>
        <w:t>第二十九条</w:t>
      </w:r>
      <w:r>
        <w:rPr>
          <w:rFonts w:ascii="仿宋" w:hAnsi="仿宋" w:eastAsia="仿宋"/>
          <w:sz w:val="32"/>
          <w:szCs w:val="32"/>
        </w:rPr>
        <w:t xml:space="preserve">  </w:t>
      </w:r>
      <w:r>
        <w:rPr>
          <w:rFonts w:hint="eastAsia" w:ascii="仿宋" w:hAnsi="仿宋" w:eastAsia="仿宋"/>
          <w:spacing w:val="6"/>
          <w:sz w:val="32"/>
          <w:szCs w:val="32"/>
          <w:lang w:val="zh-CN"/>
        </w:rPr>
        <w:t>交易中心在收到《验收确认单》后，</w:t>
      </w:r>
      <w:r>
        <w:rPr>
          <w:rFonts w:hint="eastAsia" w:ascii="仿宋" w:hAnsi="仿宋" w:eastAsia="仿宋"/>
          <w:spacing w:val="6"/>
          <w:sz w:val="32"/>
          <w:szCs w:val="32"/>
          <w:lang w:val="en-US" w:eastAsia="zh-CN"/>
        </w:rPr>
        <w:t>3</w:t>
      </w:r>
      <w:r>
        <w:rPr>
          <w:rFonts w:hint="eastAsia" w:ascii="仿宋" w:hAnsi="仿宋" w:eastAsia="仿宋"/>
          <w:spacing w:val="6"/>
          <w:sz w:val="32"/>
          <w:szCs w:val="32"/>
          <w:lang w:val="zh-CN"/>
        </w:rPr>
        <w:t>个工作日内</w:t>
      </w:r>
      <w:r>
        <w:rPr>
          <w:rFonts w:ascii="仿宋" w:hAnsi="仿宋" w:eastAsia="仿宋"/>
          <w:spacing w:val="6"/>
          <w:sz w:val="32"/>
          <w:szCs w:val="32"/>
          <w:lang w:val="zh-CN"/>
        </w:rPr>
        <w:t>,</w:t>
      </w:r>
      <w:r>
        <w:rPr>
          <w:rFonts w:hint="eastAsia" w:ascii="仿宋" w:hAnsi="仿宋" w:eastAsia="仿宋"/>
          <w:spacing w:val="6"/>
          <w:sz w:val="32"/>
          <w:szCs w:val="32"/>
          <w:lang w:val="zh-CN"/>
        </w:rPr>
        <w:t>将货款汇入卖方在农发行开立的账户。</w:t>
      </w:r>
    </w:p>
    <w:p>
      <w:pPr>
        <w:widowControl/>
        <w:snapToGrid w:val="0"/>
        <w:spacing w:line="360" w:lineRule="auto"/>
        <w:ind w:firstLine="600"/>
        <w:jc w:val="left"/>
        <w:rPr>
          <w:rFonts w:ascii="仿宋" w:hAnsi="仿宋" w:eastAsia="仿宋" w:cs="宋体"/>
          <w:kern w:val="0"/>
          <w:sz w:val="32"/>
          <w:szCs w:val="32"/>
        </w:rPr>
      </w:pPr>
      <w:r>
        <w:rPr>
          <w:rFonts w:hint="eastAsia" w:ascii="仿宋" w:hAnsi="仿宋" w:eastAsia="仿宋"/>
          <w:b/>
          <w:sz w:val="32"/>
          <w:szCs w:val="32"/>
        </w:rPr>
        <w:t>第三十条</w:t>
      </w:r>
      <w:r>
        <w:rPr>
          <w:rFonts w:ascii="仿宋" w:hAnsi="仿宋" w:eastAsia="仿宋"/>
          <w:sz w:val="32"/>
          <w:szCs w:val="32"/>
        </w:rPr>
        <w:t xml:space="preserve">  </w:t>
      </w:r>
      <w:r>
        <w:rPr>
          <w:rFonts w:hint="eastAsia" w:ascii="仿宋" w:hAnsi="仿宋" w:eastAsia="仿宋"/>
          <w:sz w:val="32"/>
          <w:szCs w:val="32"/>
          <w:lang w:val="zh-CN"/>
        </w:rPr>
        <w:t>因买方原因在合同规定的交货期内货物未全部运出的，视同交割完毕，交易中心与卖方结清货款。</w:t>
      </w:r>
      <w:r>
        <w:rPr>
          <w:rFonts w:hint="eastAsia" w:ascii="仿宋" w:hAnsi="仿宋" w:eastAsia="仿宋" w:cs="宋体"/>
          <w:kern w:val="0"/>
          <w:sz w:val="32"/>
          <w:szCs w:val="32"/>
        </w:rPr>
        <w:t>交货期截止后，对于买方已付清全部货款，但未能出库的粮食，由承储企业提供代保管服务并继续安排出库，代保管费用，由买方支付给承储企业。</w:t>
      </w:r>
    </w:p>
    <w:p>
      <w:pPr>
        <w:snapToGrid w:val="0"/>
        <w:spacing w:line="360" w:lineRule="auto"/>
        <w:ind w:firstLine="640" w:firstLineChars="200"/>
        <w:rPr>
          <w:rFonts w:ascii="仿宋" w:hAnsi="仿宋" w:eastAsia="仿宋"/>
          <w:sz w:val="32"/>
          <w:szCs w:val="32"/>
          <w:lang w:val="zh-CN"/>
        </w:rPr>
      </w:pPr>
      <w:r>
        <w:rPr>
          <w:rFonts w:hint="eastAsia" w:ascii="仿宋" w:hAnsi="仿宋" w:eastAsia="仿宋"/>
          <w:sz w:val="32"/>
          <w:szCs w:val="32"/>
          <w:lang w:val="zh-CN"/>
        </w:rPr>
        <w:t>买方如有异议，需在成交之日起10日内向交易中心提出书面申请。如买方未提出异议，在规定的出库期满之日起5日内仍未收到《验收确认单》，视为合同交割完毕，交易中心与卖方结清货款并及时将出库情况报送</w:t>
      </w:r>
      <w:r>
        <w:rPr>
          <w:rFonts w:hint="eastAsia" w:ascii="仿宋" w:hAnsi="仿宋" w:eastAsia="仿宋" w:cs="宋体"/>
          <w:spacing w:val="6"/>
          <w:kern w:val="0"/>
          <w:sz w:val="32"/>
          <w:szCs w:val="32"/>
          <w:lang w:val="zh-CN"/>
        </w:rPr>
        <w:t>地方发改（粮食）行政管理部门</w:t>
      </w:r>
      <w:r>
        <w:rPr>
          <w:rFonts w:hint="eastAsia" w:ascii="仿宋" w:hAnsi="仿宋" w:eastAsia="仿宋"/>
          <w:sz w:val="32"/>
          <w:szCs w:val="32"/>
          <w:lang w:val="zh-CN"/>
        </w:rPr>
        <w:t>。</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第三十一条</w:t>
      </w:r>
      <w:r>
        <w:rPr>
          <w:rFonts w:ascii="仿宋" w:hAnsi="仿宋" w:eastAsia="仿宋"/>
          <w:sz w:val="32"/>
          <w:szCs w:val="32"/>
        </w:rPr>
        <w:t xml:space="preserve">  </w:t>
      </w:r>
      <w:r>
        <w:rPr>
          <w:rFonts w:hint="eastAsia" w:ascii="仿宋" w:hAnsi="仿宋" w:eastAsia="仿宋"/>
          <w:sz w:val="32"/>
          <w:szCs w:val="32"/>
        </w:rPr>
        <w:t>交易手续费实行单边收取方式，交易中心按合同成交金额的</w:t>
      </w:r>
      <w:r>
        <w:rPr>
          <w:rFonts w:ascii="仿宋" w:hAnsi="仿宋" w:eastAsia="仿宋"/>
          <w:sz w:val="32"/>
          <w:szCs w:val="32"/>
        </w:rPr>
        <w:t>1</w:t>
      </w:r>
      <w:r>
        <w:rPr>
          <w:rFonts w:hint="eastAsia" w:ascii="仿宋" w:hAnsi="仿宋" w:eastAsia="仿宋"/>
          <w:sz w:val="32"/>
          <w:szCs w:val="32"/>
        </w:rPr>
        <w:t>‰向买方收取交易手续费</w:t>
      </w:r>
      <w:r>
        <w:rPr>
          <w:rFonts w:hint="eastAsia" w:ascii="仿宋" w:hAnsi="仿宋" w:eastAsia="仿宋" w:cs="Arial"/>
          <w:kern w:val="0"/>
          <w:sz w:val="32"/>
          <w:szCs w:val="32"/>
        </w:rPr>
        <w:t>。</w:t>
      </w:r>
    </w:p>
    <w:p>
      <w:pPr>
        <w:snapToGrid w:val="0"/>
        <w:spacing w:line="360" w:lineRule="auto"/>
        <w:ind w:firstLine="643" w:firstLineChars="200"/>
        <w:rPr>
          <w:rFonts w:hint="eastAsia" w:ascii="仿宋" w:hAnsi="仿宋" w:eastAsia="仿宋"/>
          <w:sz w:val="32"/>
          <w:szCs w:val="32"/>
          <w:lang w:val="zh-CN"/>
        </w:rPr>
      </w:pPr>
      <w:r>
        <w:rPr>
          <w:rFonts w:hint="eastAsia" w:ascii="仿宋" w:hAnsi="仿宋" w:eastAsia="仿宋"/>
          <w:b/>
          <w:sz w:val="32"/>
          <w:szCs w:val="32"/>
        </w:rPr>
        <w:t>第三十二条</w:t>
      </w:r>
      <w:r>
        <w:rPr>
          <w:rFonts w:ascii="仿宋" w:hAnsi="仿宋" w:eastAsia="仿宋"/>
          <w:sz w:val="32"/>
          <w:szCs w:val="32"/>
        </w:rPr>
        <w:t xml:space="preserve">  </w:t>
      </w:r>
      <w:r>
        <w:rPr>
          <w:rFonts w:hint="eastAsia" w:ascii="仿宋" w:hAnsi="仿宋" w:eastAsia="仿宋"/>
          <w:sz w:val="32"/>
          <w:szCs w:val="32"/>
          <w:lang w:val="zh-CN"/>
        </w:rPr>
        <w:t>买受人预交的110元/吨保证金(</w:t>
      </w:r>
      <w:r>
        <w:rPr>
          <w:rFonts w:hint="eastAsia" w:ascii="仿宋" w:hAnsi="仿宋" w:eastAsia="仿宋"/>
          <w:sz w:val="32"/>
          <w:szCs w:val="32"/>
        </w:rPr>
        <w:t>10元/吨交易保证金和100元/吨履约保证金)</w:t>
      </w:r>
      <w:r>
        <w:rPr>
          <w:rFonts w:hint="eastAsia" w:ascii="仿宋" w:hAnsi="仿宋" w:eastAsia="仿宋"/>
          <w:sz w:val="32"/>
          <w:szCs w:val="32"/>
          <w:lang w:val="zh-CN"/>
        </w:rPr>
        <w:t>，对已经成交的，买受人须在将粮食运回本企业后，凭《验收确认单》和企业所在地发改（粮食）行政管理部门开具的《监管证明》，经交易中心核实后，于2个工作日内退回扣除手续费后相应的保证金。对于部分成交的，未成交部分对应的保证金，按上述规定退回，也可转为货款。</w:t>
      </w:r>
    </w:p>
    <w:p>
      <w:pPr>
        <w:snapToGrid w:val="0"/>
        <w:spacing w:line="360" w:lineRule="auto"/>
        <w:ind w:firstLine="640" w:firstLineChars="200"/>
        <w:rPr>
          <w:rFonts w:ascii="仿宋" w:hAnsi="仿宋" w:eastAsia="仿宋"/>
          <w:sz w:val="32"/>
          <w:szCs w:val="32"/>
        </w:rPr>
      </w:pP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第七章</w:t>
      </w:r>
      <w:r>
        <w:rPr>
          <w:rFonts w:ascii="黑体" w:hAnsi="黑体" w:eastAsia="黑体"/>
          <w:bCs/>
          <w:sz w:val="32"/>
          <w:szCs w:val="32"/>
        </w:rPr>
        <w:t xml:space="preserve">  </w:t>
      </w:r>
      <w:r>
        <w:rPr>
          <w:rFonts w:hint="eastAsia" w:ascii="黑体" w:hAnsi="黑体" w:eastAsia="黑体"/>
          <w:bCs/>
          <w:sz w:val="32"/>
          <w:szCs w:val="32"/>
        </w:rPr>
        <w:t>违约处罚</w:t>
      </w:r>
    </w:p>
    <w:p>
      <w:pPr>
        <w:snapToGrid w:val="0"/>
        <w:spacing w:line="360" w:lineRule="auto"/>
        <w:ind w:firstLine="643" w:firstLineChars="200"/>
        <w:rPr>
          <w:rFonts w:ascii="仿宋" w:hAnsi="仿宋" w:eastAsia="仿宋"/>
          <w:sz w:val="32"/>
          <w:szCs w:val="32"/>
          <w:lang w:val="zh-CN"/>
        </w:rPr>
      </w:pPr>
      <w:r>
        <w:rPr>
          <w:rFonts w:hint="eastAsia" w:ascii="仿宋" w:hAnsi="仿宋" w:eastAsia="仿宋"/>
          <w:b/>
          <w:sz w:val="32"/>
          <w:szCs w:val="32"/>
        </w:rPr>
        <w:t>第三十三条</w:t>
      </w:r>
      <w:r>
        <w:rPr>
          <w:rFonts w:ascii="仿宋" w:hAnsi="仿宋" w:eastAsia="仿宋"/>
          <w:sz w:val="32"/>
          <w:szCs w:val="32"/>
        </w:rPr>
        <w:t xml:space="preserve">  </w:t>
      </w:r>
      <w:r>
        <w:rPr>
          <w:rFonts w:hint="eastAsia" w:ascii="仿宋" w:hAnsi="仿宋" w:eastAsia="仿宋"/>
          <w:sz w:val="32"/>
          <w:szCs w:val="32"/>
          <w:lang w:val="zh-CN"/>
        </w:rPr>
        <w:t>交易成交后，买方不能在规定的期限内将全额货款汇至交易中心指定账户的，视为买方违约，合同终止，由交易中心按本细则第六条所列标准，从买方交纳的保证金中扣除相应的履约保证金和交易保证金，分别支付给卖方和交易中心。</w:t>
      </w:r>
    </w:p>
    <w:p>
      <w:pPr>
        <w:snapToGrid w:val="0"/>
        <w:spacing w:line="360" w:lineRule="auto"/>
        <w:ind w:firstLine="643" w:firstLineChars="200"/>
        <w:rPr>
          <w:rFonts w:ascii="仿宋" w:hAnsi="仿宋" w:eastAsia="仿宋"/>
          <w:spacing w:val="6"/>
          <w:sz w:val="32"/>
          <w:szCs w:val="32"/>
          <w:lang w:val="zh-CN"/>
        </w:rPr>
      </w:pPr>
      <w:r>
        <w:rPr>
          <w:rFonts w:hint="eastAsia" w:ascii="仿宋" w:hAnsi="仿宋" w:eastAsia="仿宋"/>
          <w:b/>
          <w:sz w:val="32"/>
          <w:szCs w:val="32"/>
        </w:rPr>
        <w:t>第三十四条</w:t>
      </w:r>
      <w:r>
        <w:rPr>
          <w:rFonts w:ascii="仿宋" w:hAnsi="仿宋" w:eastAsia="仿宋"/>
          <w:sz w:val="32"/>
          <w:szCs w:val="32"/>
        </w:rPr>
        <w:t xml:space="preserve">  </w:t>
      </w:r>
      <w:r>
        <w:rPr>
          <w:rFonts w:hint="eastAsia" w:ascii="仿宋" w:hAnsi="仿宋" w:eastAsia="仿宋"/>
          <w:spacing w:val="6"/>
          <w:sz w:val="32"/>
          <w:szCs w:val="32"/>
          <w:lang w:val="zh-CN"/>
        </w:rPr>
        <w:t>卖方承储企业未按合同规定的时间、质量、数量交货，视为卖方承储企业违约，合同终止，交易中心为双方结清已履约部分货款，并从卖方货款中扣除</w:t>
      </w:r>
      <w:r>
        <w:rPr>
          <w:rFonts w:hint="eastAsia" w:ascii="仿宋" w:hAnsi="仿宋" w:eastAsia="仿宋"/>
          <w:sz w:val="32"/>
          <w:szCs w:val="32"/>
          <w:lang w:val="zh-CN"/>
        </w:rPr>
        <w:t>相应的履约保证金和交易保证金，分别支付给买方和交易中心</w:t>
      </w:r>
      <w:r>
        <w:rPr>
          <w:rFonts w:hint="eastAsia" w:ascii="仿宋" w:hAnsi="仿宋" w:eastAsia="仿宋"/>
          <w:spacing w:val="6"/>
          <w:sz w:val="32"/>
          <w:szCs w:val="32"/>
          <w:lang w:val="zh-CN"/>
        </w:rPr>
        <w:t>。</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 xml:space="preserve">第三十五条  </w:t>
      </w:r>
      <w:r>
        <w:rPr>
          <w:rFonts w:hint="eastAsia" w:ascii="仿宋" w:hAnsi="仿宋" w:eastAsia="仿宋" w:cs="仿宋_GB2312"/>
          <w:kern w:val="0"/>
          <w:sz w:val="32"/>
          <w:szCs w:val="32"/>
        </w:rPr>
        <w:t>因不可抗力等原因，导致成交粮食无法正常出库的，买卖双方共同提出申请，交易中心核实有关情况后，可以终止合同，并退还买方履约保证金及交易保证金。</w:t>
      </w:r>
    </w:p>
    <w:p>
      <w:pPr>
        <w:snapToGrid w:val="0"/>
        <w:spacing w:line="360" w:lineRule="auto"/>
        <w:ind w:firstLine="643" w:firstLineChars="200"/>
        <w:rPr>
          <w:rFonts w:ascii="仿宋" w:hAnsi="仿宋" w:eastAsia="仿宋" w:cs="宋体"/>
          <w:kern w:val="0"/>
          <w:sz w:val="32"/>
          <w:szCs w:val="32"/>
        </w:rPr>
      </w:pPr>
      <w:r>
        <w:rPr>
          <w:rFonts w:hint="eastAsia" w:ascii="仿宋" w:hAnsi="仿宋" w:eastAsia="仿宋"/>
          <w:b/>
          <w:sz w:val="32"/>
          <w:szCs w:val="32"/>
        </w:rPr>
        <w:t>第三十六条</w:t>
      </w:r>
      <w:r>
        <w:rPr>
          <w:rFonts w:ascii="仿宋" w:hAnsi="仿宋" w:eastAsia="仿宋"/>
          <w:sz w:val="32"/>
          <w:szCs w:val="32"/>
        </w:rPr>
        <w:t xml:space="preserve">  </w:t>
      </w:r>
      <w:r>
        <w:rPr>
          <w:rFonts w:hint="eastAsia" w:ascii="仿宋" w:hAnsi="仿宋" w:eastAsia="仿宋" w:cs="宋体"/>
          <w:spacing w:val="6"/>
          <w:kern w:val="0"/>
          <w:sz w:val="32"/>
          <w:szCs w:val="32"/>
          <w:lang w:val="zh-CN"/>
        </w:rPr>
        <w:t>对于出库弄虚作假、故意刁难买方、人为设置障碍、不配合或故意拖延阻扰出库的承储企业，及时向同级发改（粮食）行政管理部门等有关部门报告，发改（粮食）行政管理部门等有关部门按照相关规定及时查处，情节严重的取消政策性粮食收储资格。</w:t>
      </w:r>
    </w:p>
    <w:p>
      <w:pPr>
        <w:snapToGrid w:val="0"/>
        <w:spacing w:line="360" w:lineRule="auto"/>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参与交易的买方必须符合粮食流通法规规定的条件，严格遵守交易规则，依法履行交易合同，违反有关规定的禁止参加湖北省临时储备粮交易，情节严重的列入“黑名单”，取消其参与政策性粮食交易资格，并予以通报。</w:t>
      </w:r>
    </w:p>
    <w:p>
      <w:pPr>
        <w:snapToGrid w:val="0"/>
        <w:spacing w:line="360" w:lineRule="auto"/>
        <w:ind w:firstLine="640" w:firstLineChars="200"/>
        <w:rPr>
          <w:rFonts w:ascii="仿宋_GB2312" w:hAnsi="仿宋_GB2312" w:eastAsia="仿宋_GB2312" w:cs="仿宋_GB2312"/>
          <w:kern w:val="0"/>
          <w:sz w:val="32"/>
          <w:szCs w:val="32"/>
        </w:rPr>
      </w:pPr>
      <w:r>
        <w:rPr>
          <w:rFonts w:hint="eastAsia" w:ascii="仿宋" w:hAnsi="仿宋" w:eastAsia="仿宋" w:cs="宋体"/>
          <w:kern w:val="0"/>
          <w:sz w:val="32"/>
          <w:szCs w:val="32"/>
        </w:rPr>
        <w:t>违反相关法律，导致不符合食品安全标准的粮食流入口粮市场、不符合饲料卫生标准的粮食流入饲料市场、涉及套取价差补贴等行为构成犯罪的，移送司法机关追究刑事责任。</w:t>
      </w:r>
    </w:p>
    <w:p>
      <w:pPr>
        <w:snapToGrid w:val="0"/>
        <w:spacing w:line="360" w:lineRule="auto"/>
        <w:ind w:firstLine="640" w:firstLineChars="200"/>
        <w:rPr>
          <w:rFonts w:ascii="仿宋" w:hAnsi="仿宋" w:eastAsia="仿宋"/>
          <w:sz w:val="32"/>
          <w:szCs w:val="32"/>
        </w:rPr>
      </w:pP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第八章</w:t>
      </w:r>
      <w:r>
        <w:rPr>
          <w:rFonts w:ascii="黑体" w:hAnsi="黑体" w:eastAsia="黑体"/>
          <w:bCs/>
          <w:sz w:val="32"/>
          <w:szCs w:val="32"/>
        </w:rPr>
        <w:t xml:space="preserve">  </w:t>
      </w:r>
      <w:r>
        <w:rPr>
          <w:rFonts w:hint="eastAsia" w:ascii="黑体" w:hAnsi="黑体" w:eastAsia="黑体"/>
          <w:bCs/>
          <w:sz w:val="32"/>
          <w:szCs w:val="32"/>
        </w:rPr>
        <w:t>附</w:t>
      </w:r>
      <w:r>
        <w:rPr>
          <w:rFonts w:ascii="黑体" w:hAnsi="黑体" w:eastAsia="黑体"/>
          <w:bCs/>
          <w:sz w:val="32"/>
          <w:szCs w:val="32"/>
        </w:rPr>
        <w:t xml:space="preserve"> </w:t>
      </w:r>
      <w:r>
        <w:rPr>
          <w:rFonts w:hint="eastAsia" w:ascii="黑体" w:hAnsi="黑体" w:eastAsia="黑体"/>
          <w:bCs/>
          <w:sz w:val="32"/>
          <w:szCs w:val="32"/>
        </w:rPr>
        <w:t>则</w:t>
      </w:r>
    </w:p>
    <w:p>
      <w:pPr>
        <w:snapToGrid w:val="0"/>
        <w:spacing w:line="360" w:lineRule="auto"/>
        <w:ind w:firstLine="643" w:firstLineChars="200"/>
        <w:rPr>
          <w:rFonts w:ascii="仿宋" w:hAnsi="仿宋" w:eastAsia="仿宋"/>
          <w:sz w:val="32"/>
          <w:szCs w:val="32"/>
          <w:lang w:val="zh-CN"/>
        </w:rPr>
      </w:pPr>
      <w:r>
        <w:rPr>
          <w:rFonts w:hint="eastAsia" w:ascii="仿宋" w:hAnsi="仿宋" w:eastAsia="仿宋"/>
          <w:b/>
          <w:sz w:val="32"/>
          <w:szCs w:val="32"/>
        </w:rPr>
        <w:t>第三十七条</w:t>
      </w:r>
      <w:r>
        <w:rPr>
          <w:rFonts w:ascii="仿宋" w:hAnsi="仿宋" w:eastAsia="仿宋"/>
          <w:sz w:val="32"/>
          <w:szCs w:val="32"/>
        </w:rPr>
        <w:t xml:space="preserve">  </w:t>
      </w:r>
      <w:r>
        <w:rPr>
          <w:rFonts w:hint="eastAsia" w:ascii="仿宋" w:hAnsi="仿宋" w:eastAsia="仿宋"/>
          <w:sz w:val="32"/>
          <w:szCs w:val="32"/>
          <w:lang w:val="zh-CN"/>
        </w:rPr>
        <w:t>交易中心负责监督合同的执行，协调处理商务等问题。如遇未尽事宜，由交易中心与有关部门协商处理。</w:t>
      </w:r>
    </w:p>
    <w:p>
      <w:pPr>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第三十八条</w:t>
      </w:r>
      <w:r>
        <w:rPr>
          <w:rFonts w:ascii="仿宋" w:hAnsi="仿宋" w:eastAsia="仿宋" w:cs="宋体"/>
          <w:kern w:val="0"/>
          <w:sz w:val="32"/>
          <w:szCs w:val="32"/>
        </w:rPr>
        <w:t xml:space="preserve">  </w:t>
      </w:r>
      <w:r>
        <w:rPr>
          <w:rFonts w:hint="eastAsia" w:ascii="仿宋" w:hAnsi="仿宋" w:eastAsia="仿宋" w:cs="宋体"/>
          <w:kern w:val="0"/>
          <w:sz w:val="32"/>
          <w:szCs w:val="32"/>
        </w:rPr>
        <w:t>本交易细则自</w:t>
      </w:r>
      <w:r>
        <w:rPr>
          <w:rFonts w:ascii="仿宋" w:hAnsi="仿宋" w:eastAsia="仿宋" w:cs="宋体"/>
          <w:kern w:val="0"/>
          <w:sz w:val="32"/>
          <w:szCs w:val="32"/>
        </w:rPr>
        <w:t>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6日起执行。</w:t>
      </w:r>
    </w:p>
    <w:p>
      <w:pPr>
        <w:snapToGrid w:val="0"/>
        <w:spacing w:line="360" w:lineRule="auto"/>
        <w:ind w:firstLine="643" w:firstLineChars="200"/>
      </w:pPr>
      <w:r>
        <w:rPr>
          <w:rFonts w:hint="eastAsia" w:ascii="仿宋" w:hAnsi="仿宋" w:eastAsia="仿宋"/>
          <w:b/>
          <w:sz w:val="32"/>
          <w:szCs w:val="32"/>
        </w:rPr>
        <w:t>第三十九条</w:t>
      </w:r>
      <w:r>
        <w:rPr>
          <w:rFonts w:ascii="仿宋" w:hAnsi="仿宋" w:eastAsia="仿宋"/>
          <w:sz w:val="32"/>
          <w:szCs w:val="32"/>
        </w:rPr>
        <w:t xml:space="preserve">  </w:t>
      </w:r>
      <w:r>
        <w:rPr>
          <w:rFonts w:hint="eastAsia" w:ascii="仿宋" w:hAnsi="仿宋" w:eastAsia="仿宋"/>
          <w:sz w:val="32"/>
          <w:szCs w:val="32"/>
          <w:lang w:val="zh-CN"/>
        </w:rPr>
        <w:t>本交易细则由交易中心负责解释。</w:t>
      </w:r>
    </w:p>
    <w:sectPr>
      <w:headerReference r:id="rId3" w:type="default"/>
      <w:footerReference r:id="rId4" w:type="default"/>
      <w:footerReference r:id="rId5" w:type="even"/>
      <w:pgSz w:w="11906" w:h="16838"/>
      <w:pgMar w:top="1446" w:right="1588" w:bottom="1446" w:left="1588" w:header="1701" w:footer="102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C5"/>
    <w:rsid w:val="00000271"/>
    <w:rsid w:val="00020DB5"/>
    <w:rsid w:val="00030A6F"/>
    <w:rsid w:val="00032D0E"/>
    <w:rsid w:val="0005056D"/>
    <w:rsid w:val="00083D42"/>
    <w:rsid w:val="00093990"/>
    <w:rsid w:val="000D31BF"/>
    <w:rsid w:val="000F5CD0"/>
    <w:rsid w:val="0010238E"/>
    <w:rsid w:val="00112F98"/>
    <w:rsid w:val="001201C6"/>
    <w:rsid w:val="00121B6C"/>
    <w:rsid w:val="00125EFC"/>
    <w:rsid w:val="00142CC6"/>
    <w:rsid w:val="001460A5"/>
    <w:rsid w:val="00146550"/>
    <w:rsid w:val="00170150"/>
    <w:rsid w:val="00175FB5"/>
    <w:rsid w:val="00181048"/>
    <w:rsid w:val="00184FFA"/>
    <w:rsid w:val="0019182B"/>
    <w:rsid w:val="00193D01"/>
    <w:rsid w:val="001A0027"/>
    <w:rsid w:val="001D7ED8"/>
    <w:rsid w:val="001E10EF"/>
    <w:rsid w:val="00202684"/>
    <w:rsid w:val="00206539"/>
    <w:rsid w:val="002073FB"/>
    <w:rsid w:val="0021181A"/>
    <w:rsid w:val="0022263F"/>
    <w:rsid w:val="00223332"/>
    <w:rsid w:val="0022402E"/>
    <w:rsid w:val="00225E79"/>
    <w:rsid w:val="00231E44"/>
    <w:rsid w:val="00237936"/>
    <w:rsid w:val="00244F9A"/>
    <w:rsid w:val="00245DF0"/>
    <w:rsid w:val="002472CF"/>
    <w:rsid w:val="0026203E"/>
    <w:rsid w:val="00275571"/>
    <w:rsid w:val="00277221"/>
    <w:rsid w:val="00280CA9"/>
    <w:rsid w:val="0028670C"/>
    <w:rsid w:val="00296E69"/>
    <w:rsid w:val="002B406A"/>
    <w:rsid w:val="002B7BF5"/>
    <w:rsid w:val="002D11FB"/>
    <w:rsid w:val="002D175A"/>
    <w:rsid w:val="002E214D"/>
    <w:rsid w:val="002E6C24"/>
    <w:rsid w:val="00313808"/>
    <w:rsid w:val="003368AC"/>
    <w:rsid w:val="00336E0B"/>
    <w:rsid w:val="00354681"/>
    <w:rsid w:val="00367046"/>
    <w:rsid w:val="003769E4"/>
    <w:rsid w:val="00377B69"/>
    <w:rsid w:val="00381B00"/>
    <w:rsid w:val="003837F7"/>
    <w:rsid w:val="003874BD"/>
    <w:rsid w:val="003A1A82"/>
    <w:rsid w:val="003B5CCF"/>
    <w:rsid w:val="003C3BEA"/>
    <w:rsid w:val="003D0555"/>
    <w:rsid w:val="003D40B8"/>
    <w:rsid w:val="003D50EA"/>
    <w:rsid w:val="003E07B5"/>
    <w:rsid w:val="003E1783"/>
    <w:rsid w:val="003F40FA"/>
    <w:rsid w:val="00404534"/>
    <w:rsid w:val="00407C06"/>
    <w:rsid w:val="00416875"/>
    <w:rsid w:val="00422F18"/>
    <w:rsid w:val="00431F86"/>
    <w:rsid w:val="00456EF3"/>
    <w:rsid w:val="004778AE"/>
    <w:rsid w:val="004C3644"/>
    <w:rsid w:val="004C373C"/>
    <w:rsid w:val="004C7CED"/>
    <w:rsid w:val="004D70D5"/>
    <w:rsid w:val="004D72FB"/>
    <w:rsid w:val="004E5DD8"/>
    <w:rsid w:val="004F6C38"/>
    <w:rsid w:val="00500DD8"/>
    <w:rsid w:val="0050732C"/>
    <w:rsid w:val="005259F4"/>
    <w:rsid w:val="00535F7C"/>
    <w:rsid w:val="00536852"/>
    <w:rsid w:val="005371E6"/>
    <w:rsid w:val="00542786"/>
    <w:rsid w:val="00551E0D"/>
    <w:rsid w:val="00553314"/>
    <w:rsid w:val="005607E7"/>
    <w:rsid w:val="00572AED"/>
    <w:rsid w:val="00593912"/>
    <w:rsid w:val="005A19EC"/>
    <w:rsid w:val="005A4858"/>
    <w:rsid w:val="005E1A97"/>
    <w:rsid w:val="005E56DF"/>
    <w:rsid w:val="005F45F6"/>
    <w:rsid w:val="005F530C"/>
    <w:rsid w:val="005F537F"/>
    <w:rsid w:val="006108FA"/>
    <w:rsid w:val="006217C2"/>
    <w:rsid w:val="00633813"/>
    <w:rsid w:val="00646A89"/>
    <w:rsid w:val="006475E1"/>
    <w:rsid w:val="00685791"/>
    <w:rsid w:val="00686C52"/>
    <w:rsid w:val="006904DB"/>
    <w:rsid w:val="006919E1"/>
    <w:rsid w:val="006C3922"/>
    <w:rsid w:val="006C54A0"/>
    <w:rsid w:val="006D5B3B"/>
    <w:rsid w:val="006F37F3"/>
    <w:rsid w:val="006F4F8B"/>
    <w:rsid w:val="0070680B"/>
    <w:rsid w:val="00711E9F"/>
    <w:rsid w:val="00723D9D"/>
    <w:rsid w:val="00744D67"/>
    <w:rsid w:val="00746705"/>
    <w:rsid w:val="00750B99"/>
    <w:rsid w:val="00760390"/>
    <w:rsid w:val="007807B3"/>
    <w:rsid w:val="00795695"/>
    <w:rsid w:val="007A6559"/>
    <w:rsid w:val="007A6D6D"/>
    <w:rsid w:val="007B03C5"/>
    <w:rsid w:val="007B1453"/>
    <w:rsid w:val="007B49D6"/>
    <w:rsid w:val="007B5DDE"/>
    <w:rsid w:val="007C0DC1"/>
    <w:rsid w:val="007C6103"/>
    <w:rsid w:val="007C74BC"/>
    <w:rsid w:val="007E0F40"/>
    <w:rsid w:val="007F03D6"/>
    <w:rsid w:val="007F2D15"/>
    <w:rsid w:val="00817DB9"/>
    <w:rsid w:val="00830E1B"/>
    <w:rsid w:val="00835CC4"/>
    <w:rsid w:val="00847091"/>
    <w:rsid w:val="00857FCD"/>
    <w:rsid w:val="00861EE2"/>
    <w:rsid w:val="00881FED"/>
    <w:rsid w:val="00892E14"/>
    <w:rsid w:val="008A2323"/>
    <w:rsid w:val="008A3F20"/>
    <w:rsid w:val="008B1765"/>
    <w:rsid w:val="008B42FA"/>
    <w:rsid w:val="008C16B4"/>
    <w:rsid w:val="008D25B0"/>
    <w:rsid w:val="008E05CA"/>
    <w:rsid w:val="008E31C6"/>
    <w:rsid w:val="008F27F8"/>
    <w:rsid w:val="008F322F"/>
    <w:rsid w:val="00916CD6"/>
    <w:rsid w:val="00955B0C"/>
    <w:rsid w:val="00961FBB"/>
    <w:rsid w:val="00963507"/>
    <w:rsid w:val="00990A4C"/>
    <w:rsid w:val="00994147"/>
    <w:rsid w:val="009A05BC"/>
    <w:rsid w:val="009B194B"/>
    <w:rsid w:val="009D2DA1"/>
    <w:rsid w:val="009D7723"/>
    <w:rsid w:val="009D7A13"/>
    <w:rsid w:val="00A11C38"/>
    <w:rsid w:val="00A121E2"/>
    <w:rsid w:val="00A17764"/>
    <w:rsid w:val="00A313D1"/>
    <w:rsid w:val="00A32D9A"/>
    <w:rsid w:val="00A53563"/>
    <w:rsid w:val="00A53E22"/>
    <w:rsid w:val="00A633A5"/>
    <w:rsid w:val="00A65EFB"/>
    <w:rsid w:val="00AA0F72"/>
    <w:rsid w:val="00AA34F6"/>
    <w:rsid w:val="00AD6258"/>
    <w:rsid w:val="00AF040F"/>
    <w:rsid w:val="00AF1BA2"/>
    <w:rsid w:val="00B014A7"/>
    <w:rsid w:val="00B0537A"/>
    <w:rsid w:val="00B24892"/>
    <w:rsid w:val="00B35903"/>
    <w:rsid w:val="00B543CA"/>
    <w:rsid w:val="00B71A29"/>
    <w:rsid w:val="00B92F92"/>
    <w:rsid w:val="00BB0C04"/>
    <w:rsid w:val="00BB2C41"/>
    <w:rsid w:val="00BE1AD5"/>
    <w:rsid w:val="00BF6FAF"/>
    <w:rsid w:val="00C22103"/>
    <w:rsid w:val="00C319FF"/>
    <w:rsid w:val="00C37867"/>
    <w:rsid w:val="00C42F7E"/>
    <w:rsid w:val="00C52715"/>
    <w:rsid w:val="00C73CD7"/>
    <w:rsid w:val="00C74C45"/>
    <w:rsid w:val="00C76FB3"/>
    <w:rsid w:val="00C92125"/>
    <w:rsid w:val="00C93540"/>
    <w:rsid w:val="00C95F40"/>
    <w:rsid w:val="00CA09FB"/>
    <w:rsid w:val="00CA1AD0"/>
    <w:rsid w:val="00CB236D"/>
    <w:rsid w:val="00CB6C17"/>
    <w:rsid w:val="00CB6F3D"/>
    <w:rsid w:val="00CB74FD"/>
    <w:rsid w:val="00CD304C"/>
    <w:rsid w:val="00CD35D9"/>
    <w:rsid w:val="00CD3F70"/>
    <w:rsid w:val="00CE3C34"/>
    <w:rsid w:val="00CF2243"/>
    <w:rsid w:val="00CF6D27"/>
    <w:rsid w:val="00D044BB"/>
    <w:rsid w:val="00D2332F"/>
    <w:rsid w:val="00D359C8"/>
    <w:rsid w:val="00D45FFF"/>
    <w:rsid w:val="00D52AB7"/>
    <w:rsid w:val="00D53BA7"/>
    <w:rsid w:val="00D55320"/>
    <w:rsid w:val="00D62514"/>
    <w:rsid w:val="00D705A7"/>
    <w:rsid w:val="00D80F64"/>
    <w:rsid w:val="00D85BB5"/>
    <w:rsid w:val="00D90DF7"/>
    <w:rsid w:val="00DA34A1"/>
    <w:rsid w:val="00DA57DC"/>
    <w:rsid w:val="00DB1999"/>
    <w:rsid w:val="00DB4E9B"/>
    <w:rsid w:val="00DB531A"/>
    <w:rsid w:val="00DB737D"/>
    <w:rsid w:val="00E00BCA"/>
    <w:rsid w:val="00E17C4B"/>
    <w:rsid w:val="00E9648F"/>
    <w:rsid w:val="00EA3D67"/>
    <w:rsid w:val="00ED2607"/>
    <w:rsid w:val="00ED7E70"/>
    <w:rsid w:val="00EE5219"/>
    <w:rsid w:val="00F16292"/>
    <w:rsid w:val="00F2381C"/>
    <w:rsid w:val="00F478A5"/>
    <w:rsid w:val="00F631AA"/>
    <w:rsid w:val="00F80568"/>
    <w:rsid w:val="00F80EB4"/>
    <w:rsid w:val="00F877C2"/>
    <w:rsid w:val="00FC2E01"/>
    <w:rsid w:val="00FD0C00"/>
    <w:rsid w:val="00FE19E3"/>
    <w:rsid w:val="04ED380D"/>
    <w:rsid w:val="06626E76"/>
    <w:rsid w:val="08A57E86"/>
    <w:rsid w:val="08F06B93"/>
    <w:rsid w:val="0A4F3017"/>
    <w:rsid w:val="0E553045"/>
    <w:rsid w:val="14C35414"/>
    <w:rsid w:val="18E0167D"/>
    <w:rsid w:val="191139FE"/>
    <w:rsid w:val="1A5155C7"/>
    <w:rsid w:val="1AE20509"/>
    <w:rsid w:val="1C376F55"/>
    <w:rsid w:val="1C89557A"/>
    <w:rsid w:val="215A2576"/>
    <w:rsid w:val="268C4C31"/>
    <w:rsid w:val="2A1C7AE2"/>
    <w:rsid w:val="30A21059"/>
    <w:rsid w:val="321919BE"/>
    <w:rsid w:val="32AA0CBA"/>
    <w:rsid w:val="34A04EB0"/>
    <w:rsid w:val="36456FCC"/>
    <w:rsid w:val="3ED6062F"/>
    <w:rsid w:val="424F7E51"/>
    <w:rsid w:val="433B287B"/>
    <w:rsid w:val="46747A86"/>
    <w:rsid w:val="4750746A"/>
    <w:rsid w:val="4E6F195A"/>
    <w:rsid w:val="56703F14"/>
    <w:rsid w:val="57ED4F02"/>
    <w:rsid w:val="59F22D39"/>
    <w:rsid w:val="5AE237A9"/>
    <w:rsid w:val="5C8825BE"/>
    <w:rsid w:val="5D062F5A"/>
    <w:rsid w:val="5DA2359A"/>
    <w:rsid w:val="62A45E1B"/>
    <w:rsid w:val="687769A4"/>
    <w:rsid w:val="68AC738B"/>
    <w:rsid w:val="70855035"/>
    <w:rsid w:val="72F80BD8"/>
    <w:rsid w:val="73952A29"/>
    <w:rsid w:val="7A7652F7"/>
    <w:rsid w:val="7AEC0933"/>
    <w:rsid w:val="7D84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 w:type="character" w:styleId="8">
    <w:name w:val="Hyperlink"/>
    <w:basedOn w:val="6"/>
    <w:qFormat/>
    <w:uiPriority w:val="0"/>
    <w:rPr>
      <w:rFonts w:cs="Times New Roman"/>
      <w:color w:val="333333"/>
      <w:u w:val="none"/>
    </w:rPr>
  </w:style>
  <w:style w:type="character" w:customStyle="1" w:styleId="9">
    <w:name w:val="页脚 Char"/>
    <w:basedOn w:val="6"/>
    <w:link w:val="3"/>
    <w:qFormat/>
    <w:locked/>
    <w:uiPriority w:val="0"/>
    <w:rPr>
      <w:rFonts w:cs="Times New Roman"/>
      <w:kern w:val="2"/>
      <w:sz w:val="18"/>
    </w:rPr>
  </w:style>
  <w:style w:type="character" w:customStyle="1" w:styleId="10">
    <w:name w:val="页眉 Char"/>
    <w:basedOn w:val="6"/>
    <w:link w:val="4"/>
    <w:qFormat/>
    <w:locked/>
    <w:uiPriority w:val="0"/>
    <w:rPr>
      <w:rFonts w:cs="Times New Roman"/>
      <w:kern w:val="2"/>
      <w:sz w:val="18"/>
      <w:szCs w:val="18"/>
    </w:rPr>
  </w:style>
  <w:style w:type="paragraph" w:customStyle="1" w:styleId="11">
    <w:name w:val="p0"/>
    <w:basedOn w:val="1"/>
    <w:qFormat/>
    <w:uiPriority w:val="0"/>
    <w:pPr>
      <w:widowControl/>
    </w:pPr>
    <w:rPr>
      <w:kern w:val="0"/>
      <w:szCs w:val="21"/>
    </w:rPr>
  </w:style>
  <w:style w:type="character" w:customStyle="1" w:styleId="12">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97044-2478-4956-922B-07010EF857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4183</Words>
  <Characters>384</Characters>
  <Lines>3</Lines>
  <Paragraphs>9</Paragraphs>
  <TotalTime>2</TotalTime>
  <ScaleCrop>false</ScaleCrop>
  <LinksUpToDate>false</LinksUpToDate>
  <CharactersWithSpaces>4558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2019-12-06T01:51:00Z</dcterms:created>
  <dc:creator>jltech</dc:creator>
  <cp:lastModifiedBy>刚刚</cp:lastModifiedBy>
  <cp:lastPrinted>2016-08-04T02:10:00Z</cp:lastPrinted>
  <dcterms:modified xsi:type="dcterms:W3CDTF">2020-04-23T01:35:24Z</dcterms:modified>
  <dc:title>湖北省地方储备粮油竞价销售交易细则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